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microsoft.com/office/2011/relationships/webextensiontaskpanes" Target="word/webextensions/taskpanes.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00CBF" w14:textId="47A9CFC5" w:rsidR="000C28C4" w:rsidRPr="00230175" w:rsidRDefault="00F641B2" w:rsidP="00230175">
      <w:pPr>
        <w:rPr>
          <w:b/>
          <w:sz w:val="48"/>
          <w:szCs w:val="48"/>
          <w:lang w:val="en-US"/>
        </w:rPr>
      </w:pPr>
      <w:r w:rsidRPr="00230175">
        <w:rPr>
          <w:b/>
          <w:sz w:val="48"/>
          <w:szCs w:val="48"/>
          <w:lang w:val="en-US"/>
        </w:rPr>
        <w:t xml:space="preserve">First results </w:t>
      </w:r>
      <w:r w:rsidR="000C28C4" w:rsidRPr="00230175">
        <w:rPr>
          <w:b/>
          <w:sz w:val="48"/>
          <w:szCs w:val="48"/>
          <w:lang w:val="en-US"/>
        </w:rPr>
        <w:t>of the PROTO-SPHERA experiment: progress towards the sustainment in steady state of the jet + torus combined plasma configuration</w:t>
      </w:r>
    </w:p>
    <w:p w14:paraId="2BE5E39D" w14:textId="77777777" w:rsidR="000C28C4" w:rsidRPr="0056319C" w:rsidRDefault="000C28C4" w:rsidP="00D121F4">
      <w:pPr>
        <w:jc w:val="both"/>
        <w:rPr>
          <w:kern w:val="24"/>
          <w:lang w:val="en-US"/>
        </w:rPr>
      </w:pPr>
    </w:p>
    <w:p w14:paraId="1BA6680E" w14:textId="77777777" w:rsidR="00230175" w:rsidRPr="00A4141E" w:rsidRDefault="00230175" w:rsidP="00EC5D46">
      <w:pPr>
        <w:spacing w:line="360" w:lineRule="auto"/>
        <w:jc w:val="both"/>
        <w:rPr>
          <w:b/>
          <w:kern w:val="24"/>
        </w:rPr>
      </w:pPr>
    </w:p>
    <w:p w14:paraId="32E2E9DF" w14:textId="5B930C15" w:rsidR="00EC5D46" w:rsidRPr="00230175" w:rsidRDefault="000C28C4" w:rsidP="00AD6A5A">
      <w:pPr>
        <w:spacing w:line="360" w:lineRule="auto"/>
        <w:rPr>
          <w:b/>
          <w:kern w:val="24"/>
          <w:lang w:val="it-IT"/>
        </w:rPr>
      </w:pPr>
      <w:r w:rsidRPr="00230175">
        <w:rPr>
          <w:b/>
          <w:kern w:val="24"/>
          <w:lang w:val="it-IT"/>
        </w:rPr>
        <w:t>Paolo Micozzi</w:t>
      </w:r>
      <w:r w:rsidR="00C23017" w:rsidRPr="00230175">
        <w:rPr>
          <w:b/>
          <w:kern w:val="24"/>
          <w:vertAlign w:val="superscript"/>
          <w:lang w:val="it-IT"/>
        </w:rPr>
        <w:t>1</w:t>
      </w:r>
      <w:r w:rsidRPr="00230175">
        <w:rPr>
          <w:b/>
          <w:kern w:val="24"/>
          <w:lang w:val="it-IT"/>
        </w:rPr>
        <w:t xml:space="preserve">, </w:t>
      </w:r>
      <w:r w:rsidR="00C23017" w:rsidRPr="00230175">
        <w:rPr>
          <w:b/>
          <w:iCs/>
          <w:kern w:val="24"/>
          <w:lang w:val="it-IT"/>
        </w:rPr>
        <w:t>Franco Alladio</w:t>
      </w:r>
      <w:r w:rsidR="00C23017" w:rsidRPr="00230175">
        <w:rPr>
          <w:b/>
          <w:kern w:val="24"/>
          <w:vertAlign w:val="superscript"/>
          <w:lang w:val="it-IT"/>
        </w:rPr>
        <w:t>2</w:t>
      </w:r>
      <w:r w:rsidR="00C23017" w:rsidRPr="00230175">
        <w:rPr>
          <w:b/>
          <w:iCs/>
          <w:kern w:val="24"/>
          <w:lang w:val="it-IT"/>
        </w:rPr>
        <w:t xml:space="preserve">, </w:t>
      </w:r>
      <w:r w:rsidRPr="00230175">
        <w:rPr>
          <w:b/>
          <w:kern w:val="24"/>
          <w:lang w:val="it-IT"/>
        </w:rPr>
        <w:t>Alessandro Mancuso</w:t>
      </w:r>
      <w:r w:rsidR="00C23017" w:rsidRPr="00230175">
        <w:rPr>
          <w:b/>
          <w:kern w:val="24"/>
          <w:vertAlign w:val="superscript"/>
          <w:lang w:val="it-IT"/>
        </w:rPr>
        <w:t>1,</w:t>
      </w:r>
      <w:r w:rsidRPr="00230175">
        <w:rPr>
          <w:b/>
          <w:kern w:val="24"/>
          <w:vertAlign w:val="superscript"/>
          <w:lang w:val="it-IT"/>
        </w:rPr>
        <w:t>retired</w:t>
      </w:r>
      <w:r w:rsidRPr="00230175">
        <w:rPr>
          <w:b/>
          <w:kern w:val="24"/>
          <w:lang w:val="it-IT"/>
        </w:rPr>
        <w:t>, Vincenzo Zanza</w:t>
      </w:r>
      <w:r w:rsidR="00C23017" w:rsidRPr="00230175">
        <w:rPr>
          <w:b/>
          <w:kern w:val="24"/>
          <w:vertAlign w:val="superscript"/>
          <w:lang w:val="it-IT"/>
        </w:rPr>
        <w:t>1,retired</w:t>
      </w:r>
      <w:r w:rsidRPr="00230175">
        <w:rPr>
          <w:b/>
          <w:kern w:val="24"/>
          <w:lang w:val="it-IT"/>
        </w:rPr>
        <w:t>, Gerarda Apruzzese</w:t>
      </w:r>
      <w:r w:rsidR="00E6157F" w:rsidRPr="00230175">
        <w:rPr>
          <w:b/>
          <w:kern w:val="24"/>
          <w:vertAlign w:val="superscript"/>
          <w:lang w:val="it-IT"/>
        </w:rPr>
        <w:t>1</w:t>
      </w:r>
      <w:r w:rsidRPr="00230175">
        <w:rPr>
          <w:b/>
          <w:kern w:val="24"/>
          <w:lang w:val="it-IT"/>
        </w:rPr>
        <w:t>, Francesca Bombarda</w:t>
      </w:r>
      <w:r w:rsidR="00E6157F" w:rsidRPr="00230175">
        <w:rPr>
          <w:b/>
          <w:kern w:val="24"/>
          <w:vertAlign w:val="superscript"/>
          <w:lang w:val="it-IT"/>
        </w:rPr>
        <w:t>1</w:t>
      </w:r>
      <w:r w:rsidRPr="00230175">
        <w:rPr>
          <w:b/>
          <w:kern w:val="24"/>
          <w:lang w:val="it-IT"/>
        </w:rPr>
        <w:t>, Luca Boncagni</w:t>
      </w:r>
      <w:r w:rsidR="00E6157F" w:rsidRPr="00230175">
        <w:rPr>
          <w:b/>
          <w:kern w:val="24"/>
          <w:vertAlign w:val="superscript"/>
          <w:lang w:val="it-IT"/>
        </w:rPr>
        <w:t>1</w:t>
      </w:r>
      <w:r w:rsidRPr="00230175">
        <w:rPr>
          <w:b/>
          <w:kern w:val="24"/>
          <w:lang w:val="it-IT"/>
        </w:rPr>
        <w:t xml:space="preserve">, </w:t>
      </w:r>
      <w:r w:rsidR="00C23017" w:rsidRPr="00230175">
        <w:rPr>
          <w:b/>
          <w:kern w:val="24"/>
          <w:lang w:val="it-IT"/>
        </w:rPr>
        <w:t>Paolo Buratti</w:t>
      </w:r>
      <w:r w:rsidR="00C23017" w:rsidRPr="00230175">
        <w:rPr>
          <w:b/>
          <w:kern w:val="24"/>
          <w:vertAlign w:val="superscript"/>
          <w:lang w:val="it-IT"/>
        </w:rPr>
        <w:t>2</w:t>
      </w:r>
      <w:r w:rsidR="00C23017" w:rsidRPr="00230175">
        <w:rPr>
          <w:b/>
          <w:kern w:val="24"/>
          <w:lang w:val="it-IT"/>
        </w:rPr>
        <w:t xml:space="preserve">, </w:t>
      </w:r>
      <w:r w:rsidRPr="00230175">
        <w:rPr>
          <w:b/>
          <w:kern w:val="24"/>
          <w:lang w:val="it-IT"/>
        </w:rPr>
        <w:t>Francesco Filippi</w:t>
      </w:r>
      <w:r w:rsidR="00E6157F" w:rsidRPr="00230175">
        <w:rPr>
          <w:b/>
          <w:kern w:val="24"/>
          <w:vertAlign w:val="superscript"/>
          <w:lang w:val="it-IT"/>
        </w:rPr>
        <w:t>1</w:t>
      </w:r>
      <w:r w:rsidRPr="00230175">
        <w:rPr>
          <w:b/>
          <w:kern w:val="24"/>
          <w:lang w:val="it-IT"/>
        </w:rPr>
        <w:t xml:space="preserve">, </w:t>
      </w:r>
      <w:r w:rsidR="00445AD6" w:rsidRPr="00230175">
        <w:rPr>
          <w:b/>
          <w:kern w:val="24"/>
          <w:lang w:val="it-IT"/>
        </w:rPr>
        <w:t>Giuseppe Galatola Teka</w:t>
      </w:r>
      <w:r w:rsidR="00445AD6" w:rsidRPr="00230175">
        <w:rPr>
          <w:b/>
          <w:kern w:val="24"/>
          <w:vertAlign w:val="superscript"/>
          <w:lang w:val="it-IT"/>
        </w:rPr>
        <w:t>1</w:t>
      </w:r>
      <w:r w:rsidR="00445AD6" w:rsidRPr="00230175">
        <w:rPr>
          <w:b/>
          <w:kern w:val="24"/>
          <w:lang w:val="it-IT"/>
        </w:rPr>
        <w:t xml:space="preserve">, </w:t>
      </w:r>
      <w:r w:rsidR="00C23017" w:rsidRPr="00230175">
        <w:rPr>
          <w:b/>
          <w:kern w:val="24"/>
          <w:lang w:val="it-IT"/>
        </w:rPr>
        <w:t>Francesco Giammanco</w:t>
      </w:r>
      <w:r w:rsidR="00C23017" w:rsidRPr="00230175">
        <w:rPr>
          <w:b/>
          <w:kern w:val="24"/>
          <w:vertAlign w:val="superscript"/>
          <w:lang w:val="it-IT"/>
        </w:rPr>
        <w:t>3,retired</w:t>
      </w:r>
      <w:r w:rsidR="00C23017" w:rsidRPr="00230175">
        <w:rPr>
          <w:b/>
          <w:kern w:val="24"/>
          <w:lang w:val="it-IT"/>
        </w:rPr>
        <w:t xml:space="preserve">, </w:t>
      </w:r>
      <w:r w:rsidRPr="00230175">
        <w:rPr>
          <w:b/>
          <w:kern w:val="24"/>
          <w:lang w:val="it-IT"/>
        </w:rPr>
        <w:t>Edmondo Giovannozzi</w:t>
      </w:r>
      <w:r w:rsidR="00E6157F" w:rsidRPr="00230175">
        <w:rPr>
          <w:b/>
          <w:kern w:val="24"/>
          <w:vertAlign w:val="superscript"/>
          <w:lang w:val="it-IT"/>
        </w:rPr>
        <w:t>1</w:t>
      </w:r>
      <w:r w:rsidRPr="00230175">
        <w:rPr>
          <w:b/>
          <w:kern w:val="24"/>
          <w:lang w:val="it-IT"/>
        </w:rPr>
        <w:t>, Andrea Grosso</w:t>
      </w:r>
      <w:r w:rsidR="00C23017" w:rsidRPr="00230175">
        <w:rPr>
          <w:b/>
          <w:kern w:val="24"/>
          <w:vertAlign w:val="superscript"/>
          <w:lang w:val="it-IT"/>
        </w:rPr>
        <w:t>1,retired</w:t>
      </w:r>
      <w:r w:rsidRPr="00230175">
        <w:rPr>
          <w:b/>
          <w:kern w:val="24"/>
          <w:lang w:val="it-IT"/>
        </w:rPr>
        <w:t>, Matteo Iafrati</w:t>
      </w:r>
      <w:r w:rsidR="00E6157F" w:rsidRPr="00230175">
        <w:rPr>
          <w:b/>
          <w:kern w:val="24"/>
          <w:vertAlign w:val="superscript"/>
          <w:lang w:val="it-IT"/>
        </w:rPr>
        <w:t>1</w:t>
      </w:r>
      <w:r w:rsidRPr="00230175">
        <w:rPr>
          <w:b/>
          <w:kern w:val="24"/>
          <w:lang w:val="it-IT"/>
        </w:rPr>
        <w:t>, Alessandro Lampasi</w:t>
      </w:r>
      <w:r w:rsidR="00E6157F" w:rsidRPr="00230175">
        <w:rPr>
          <w:b/>
          <w:kern w:val="24"/>
          <w:vertAlign w:val="superscript"/>
          <w:lang w:val="it-IT"/>
        </w:rPr>
        <w:t>1</w:t>
      </w:r>
      <w:r w:rsidRPr="00230175">
        <w:rPr>
          <w:b/>
          <w:kern w:val="24"/>
          <w:lang w:val="it-IT"/>
        </w:rPr>
        <w:t>, Violeta Lazic</w:t>
      </w:r>
      <w:r w:rsidR="00E6157F" w:rsidRPr="00230175">
        <w:rPr>
          <w:b/>
          <w:kern w:val="24"/>
          <w:vertAlign w:val="superscript"/>
          <w:lang w:val="it-IT"/>
        </w:rPr>
        <w:t>1</w:t>
      </w:r>
      <w:r w:rsidRPr="00230175">
        <w:rPr>
          <w:b/>
          <w:kern w:val="24"/>
          <w:lang w:val="it-IT"/>
        </w:rPr>
        <w:t>, Simone Magagnino</w:t>
      </w:r>
      <w:r w:rsidR="00E6157F" w:rsidRPr="00230175">
        <w:rPr>
          <w:b/>
          <w:kern w:val="24"/>
          <w:vertAlign w:val="superscript"/>
          <w:lang w:val="it-IT"/>
        </w:rPr>
        <w:t>1</w:t>
      </w:r>
      <w:r w:rsidRPr="00230175">
        <w:rPr>
          <w:b/>
          <w:kern w:val="24"/>
          <w:lang w:val="it-IT"/>
        </w:rPr>
        <w:t>, Simone Mannori</w:t>
      </w:r>
      <w:r w:rsidR="00E6157F" w:rsidRPr="00230175">
        <w:rPr>
          <w:b/>
          <w:kern w:val="24"/>
          <w:vertAlign w:val="superscript"/>
          <w:lang w:val="it-IT"/>
        </w:rPr>
        <w:t>1</w:t>
      </w:r>
      <w:r w:rsidRPr="00230175">
        <w:rPr>
          <w:b/>
          <w:kern w:val="24"/>
          <w:lang w:val="it-IT"/>
        </w:rPr>
        <w:t xml:space="preserve">, </w:t>
      </w:r>
      <w:r w:rsidR="005F1D8A" w:rsidRPr="00230175">
        <w:rPr>
          <w:b/>
          <w:kern w:val="24"/>
          <w:lang w:val="it-IT"/>
        </w:rPr>
        <w:t>Paolo Marsili</w:t>
      </w:r>
      <w:r w:rsidR="005F1D8A" w:rsidRPr="00230175">
        <w:rPr>
          <w:b/>
          <w:kern w:val="24"/>
          <w:vertAlign w:val="superscript"/>
          <w:lang w:val="it-IT"/>
        </w:rPr>
        <w:t>3</w:t>
      </w:r>
      <w:r w:rsidR="005F1D8A" w:rsidRPr="00230175">
        <w:rPr>
          <w:b/>
          <w:kern w:val="24"/>
          <w:lang w:val="it-IT"/>
        </w:rPr>
        <w:t xml:space="preserve">, </w:t>
      </w:r>
      <w:r w:rsidRPr="00230175">
        <w:rPr>
          <w:b/>
          <w:kern w:val="24"/>
          <w:lang w:val="it-IT"/>
        </w:rPr>
        <w:t>Valerio Piergotti</w:t>
      </w:r>
      <w:r w:rsidR="00E6157F" w:rsidRPr="00230175">
        <w:rPr>
          <w:b/>
          <w:kern w:val="24"/>
          <w:vertAlign w:val="superscript"/>
          <w:lang w:val="it-IT"/>
        </w:rPr>
        <w:t>1</w:t>
      </w:r>
      <w:r w:rsidRPr="00230175">
        <w:rPr>
          <w:b/>
          <w:kern w:val="24"/>
          <w:lang w:val="it-IT"/>
        </w:rPr>
        <w:t>, Giuliano Rocchi</w:t>
      </w:r>
      <w:r w:rsidR="00E6157F" w:rsidRPr="00230175">
        <w:rPr>
          <w:b/>
          <w:kern w:val="24"/>
          <w:vertAlign w:val="superscript"/>
          <w:lang w:val="it-IT"/>
        </w:rPr>
        <w:t>1</w:t>
      </w:r>
      <w:r w:rsidRPr="00230175">
        <w:rPr>
          <w:b/>
          <w:kern w:val="24"/>
          <w:lang w:val="it-IT"/>
        </w:rPr>
        <w:t>, Alessandro Sibio</w:t>
      </w:r>
      <w:r w:rsidR="00E6157F" w:rsidRPr="00230175">
        <w:rPr>
          <w:b/>
          <w:kern w:val="24"/>
          <w:vertAlign w:val="superscript"/>
          <w:lang w:val="it-IT"/>
        </w:rPr>
        <w:t>1</w:t>
      </w:r>
      <w:r w:rsidRPr="00230175">
        <w:rPr>
          <w:b/>
          <w:kern w:val="24"/>
          <w:lang w:val="it-IT"/>
        </w:rPr>
        <w:t>, Benedetto Tilia</w:t>
      </w:r>
      <w:r w:rsidR="005F1D8A" w:rsidRPr="00230175">
        <w:rPr>
          <w:b/>
          <w:kern w:val="24"/>
          <w:vertAlign w:val="superscript"/>
          <w:lang w:val="it-IT"/>
        </w:rPr>
        <w:t>1,retired</w:t>
      </w:r>
      <w:r w:rsidRPr="00230175">
        <w:rPr>
          <w:b/>
          <w:kern w:val="24"/>
          <w:lang w:val="it-IT"/>
        </w:rPr>
        <w:t>, Onofrio Tudisco</w:t>
      </w:r>
      <w:r w:rsidR="00E6157F" w:rsidRPr="00230175">
        <w:rPr>
          <w:b/>
          <w:kern w:val="24"/>
          <w:vertAlign w:val="superscript"/>
          <w:lang w:val="it-IT"/>
        </w:rPr>
        <w:t>1</w:t>
      </w:r>
    </w:p>
    <w:p w14:paraId="57AE9E58" w14:textId="77777777" w:rsidR="00C23017" w:rsidRDefault="00C23017" w:rsidP="00EC5D46">
      <w:pPr>
        <w:spacing w:line="360" w:lineRule="auto"/>
        <w:jc w:val="both"/>
        <w:rPr>
          <w:i/>
          <w:kern w:val="24"/>
          <w:sz w:val="18"/>
          <w:szCs w:val="18"/>
          <w:lang w:val="it-IT"/>
        </w:rPr>
      </w:pPr>
    </w:p>
    <w:p w14:paraId="60FD6EFB" w14:textId="77777777" w:rsidR="00C23017" w:rsidRDefault="00C23017" w:rsidP="00EC5D46">
      <w:pPr>
        <w:spacing w:line="360" w:lineRule="auto"/>
        <w:jc w:val="both"/>
        <w:rPr>
          <w:i/>
          <w:kern w:val="24"/>
          <w:sz w:val="18"/>
          <w:szCs w:val="18"/>
          <w:lang w:val="it-IT"/>
        </w:rPr>
      </w:pPr>
    </w:p>
    <w:p w14:paraId="68CD144A" w14:textId="02B38F07" w:rsidR="000C28C4" w:rsidRDefault="00445AD6" w:rsidP="00A4141E">
      <w:pPr>
        <w:rPr>
          <w:sz w:val="20"/>
          <w:szCs w:val="20"/>
          <w:lang w:val="it-IT" w:eastAsia="en-GB"/>
        </w:rPr>
      </w:pPr>
      <w:r w:rsidRPr="000E09F7">
        <w:rPr>
          <w:kern w:val="24"/>
          <w:sz w:val="20"/>
          <w:szCs w:val="20"/>
          <w:vertAlign w:val="superscript"/>
          <w:lang w:val="it-IT"/>
        </w:rPr>
        <w:t>1</w:t>
      </w:r>
      <w:r w:rsidRPr="000E09F7">
        <w:rPr>
          <w:kern w:val="24"/>
          <w:sz w:val="20"/>
          <w:szCs w:val="20"/>
          <w:lang w:val="it-IT"/>
        </w:rPr>
        <w:t xml:space="preserve"> </w:t>
      </w:r>
      <w:r w:rsidR="00A4141E" w:rsidRPr="00A4141E">
        <w:rPr>
          <w:sz w:val="20"/>
          <w:szCs w:val="20"/>
          <w:lang w:val="it-IT" w:eastAsia="en-GB"/>
        </w:rPr>
        <w:t>ENEA Agenzia Nazionale per Le Nuove Tecnologie l'Energia e lo Sviluppo Economico Sostenibile, CR Frascati CP 65 Via E Fermi 45, 00044 Frascati (Rome), Italy</w:t>
      </w:r>
    </w:p>
    <w:p w14:paraId="5A84F3B4" w14:textId="77777777" w:rsidR="00A4141E" w:rsidRPr="00A4141E" w:rsidRDefault="00A4141E" w:rsidP="00A4141E">
      <w:pPr>
        <w:rPr>
          <w:sz w:val="16"/>
          <w:szCs w:val="16"/>
          <w:lang w:val="it-IT" w:eastAsia="en-GB"/>
        </w:rPr>
      </w:pPr>
    </w:p>
    <w:p w14:paraId="262F6146" w14:textId="3D82B5CB" w:rsidR="00A4141E" w:rsidRPr="00A4141E" w:rsidRDefault="00445AD6" w:rsidP="00EC5D46">
      <w:pPr>
        <w:spacing w:line="360" w:lineRule="auto"/>
        <w:jc w:val="both"/>
        <w:rPr>
          <w:iCs/>
          <w:sz w:val="20"/>
          <w:szCs w:val="20"/>
          <w:lang w:val="it-IT"/>
        </w:rPr>
      </w:pPr>
      <w:r w:rsidRPr="000E09F7">
        <w:rPr>
          <w:iCs/>
          <w:sz w:val="20"/>
          <w:szCs w:val="20"/>
          <w:vertAlign w:val="superscript"/>
          <w:lang w:val="it-IT"/>
        </w:rPr>
        <w:t>2</w:t>
      </w:r>
      <w:r w:rsidRPr="000E09F7">
        <w:rPr>
          <w:iCs/>
          <w:sz w:val="20"/>
          <w:szCs w:val="20"/>
          <w:lang w:val="it-IT"/>
        </w:rPr>
        <w:t xml:space="preserve"> </w:t>
      </w:r>
      <w:r w:rsidR="00817A9D" w:rsidRPr="000E09F7">
        <w:rPr>
          <w:iCs/>
          <w:sz w:val="20"/>
          <w:szCs w:val="20"/>
          <w:lang w:val="it-IT"/>
        </w:rPr>
        <w:t>INAF – IAPS, Via Fosso del Cavaliere 100, 0133 Rome, Italy</w:t>
      </w:r>
    </w:p>
    <w:p w14:paraId="5F1DCEF4" w14:textId="77777777" w:rsidR="00436798" w:rsidRPr="00436798" w:rsidRDefault="00445AD6" w:rsidP="00436798">
      <w:pPr>
        <w:rPr>
          <w:sz w:val="20"/>
          <w:szCs w:val="20"/>
          <w:lang w:eastAsia="en-GB"/>
        </w:rPr>
      </w:pPr>
      <w:r w:rsidRPr="00A4141E">
        <w:rPr>
          <w:kern w:val="24"/>
          <w:sz w:val="20"/>
          <w:szCs w:val="20"/>
          <w:vertAlign w:val="superscript"/>
        </w:rPr>
        <w:t>3</w:t>
      </w:r>
      <w:r w:rsidRPr="00A4141E">
        <w:rPr>
          <w:kern w:val="24"/>
          <w:sz w:val="20"/>
          <w:szCs w:val="20"/>
        </w:rPr>
        <w:t xml:space="preserve"> </w:t>
      </w:r>
      <w:r w:rsidR="00436798" w:rsidRPr="00436798">
        <w:rPr>
          <w:sz w:val="20"/>
          <w:szCs w:val="20"/>
          <w:lang w:eastAsia="en-GB"/>
        </w:rPr>
        <w:t>University of Pisa Faculty of Natural Sciences Mathematics and Physics, Physics Department, Largo B. Pontecorvo 3, 56127, Pisa, Italy</w:t>
      </w:r>
    </w:p>
    <w:p w14:paraId="30BCAD93" w14:textId="77777777" w:rsidR="000E09F7" w:rsidRPr="00A4141E" w:rsidRDefault="000E09F7" w:rsidP="00D121F4">
      <w:pPr>
        <w:spacing w:line="360" w:lineRule="auto"/>
        <w:jc w:val="both"/>
        <w:rPr>
          <w:kern w:val="24"/>
        </w:rPr>
      </w:pPr>
    </w:p>
    <w:p w14:paraId="6CD358B9" w14:textId="24501EDC" w:rsidR="00445AD6" w:rsidRPr="000E09F7" w:rsidRDefault="000E09F7" w:rsidP="00D121F4">
      <w:pPr>
        <w:spacing w:line="360" w:lineRule="auto"/>
        <w:jc w:val="both"/>
        <w:rPr>
          <w:kern w:val="24"/>
          <w:sz w:val="20"/>
          <w:szCs w:val="20"/>
          <w:lang w:val="it-IT"/>
        </w:rPr>
      </w:pPr>
      <w:r w:rsidRPr="000E09F7">
        <w:rPr>
          <w:kern w:val="24"/>
          <w:sz w:val="20"/>
          <w:szCs w:val="20"/>
          <w:lang w:val="it-IT"/>
        </w:rPr>
        <w:t>E-mail: paolo.micozzi@enea.it</w:t>
      </w:r>
    </w:p>
    <w:p w14:paraId="02FFB2B0" w14:textId="77777777" w:rsidR="00445AD6" w:rsidRPr="00EC5D46" w:rsidRDefault="00445AD6" w:rsidP="00D121F4">
      <w:pPr>
        <w:spacing w:line="360" w:lineRule="auto"/>
        <w:jc w:val="both"/>
        <w:rPr>
          <w:b/>
          <w:lang w:val="it-IT"/>
        </w:rPr>
      </w:pPr>
      <w:bookmarkStart w:id="0" w:name="_GoBack"/>
      <w:bookmarkEnd w:id="0"/>
    </w:p>
    <w:p w14:paraId="515BAE1A" w14:textId="77777777" w:rsidR="000E09F7" w:rsidRDefault="000E09F7" w:rsidP="00D121F4">
      <w:pPr>
        <w:spacing w:line="360" w:lineRule="auto"/>
        <w:jc w:val="both"/>
        <w:rPr>
          <w:b/>
          <w:lang w:val="it-IT"/>
        </w:rPr>
      </w:pPr>
    </w:p>
    <w:p w14:paraId="58C9596C" w14:textId="77777777" w:rsidR="000C28C4" w:rsidRPr="00A4141E" w:rsidRDefault="000C28C4" w:rsidP="00D121F4">
      <w:pPr>
        <w:spacing w:line="360" w:lineRule="auto"/>
        <w:jc w:val="both"/>
        <w:rPr>
          <w:b/>
        </w:rPr>
      </w:pPr>
      <w:r w:rsidRPr="00A4141E">
        <w:rPr>
          <w:b/>
        </w:rPr>
        <w:t>Abstract</w:t>
      </w:r>
    </w:p>
    <w:p w14:paraId="3F786A5D" w14:textId="4532510E" w:rsidR="000C28C4" w:rsidRPr="00624FDD" w:rsidRDefault="000C28C4" w:rsidP="00D121F4">
      <w:pPr>
        <w:spacing w:line="360" w:lineRule="auto"/>
        <w:jc w:val="both"/>
        <w:rPr>
          <w:lang w:val="en-US"/>
        </w:rPr>
      </w:pPr>
      <w:r w:rsidRPr="00624FDD">
        <w:rPr>
          <w:lang w:val="en-US"/>
        </w:rPr>
        <w:t xml:space="preserve">In Astrophysics the boundary conditions for plasma phenomena are provided by Nature and the astronomer faces the problem of understanding them from a variety of observations [1], on the other hand in laboratory plasma experiments the electromagnetic boundary conditions become a major problem in the set-up of the machine that produces the plasma, an issue that has to be investigated step by step and to be modified and adapted with great patience, in particular in the case of an innovative plasma confinement experiment. The PROTO-SPHERA machine [2-3] is a magnetic confinement experiment, </w:t>
      </w:r>
      <w:r w:rsidR="00F641B2" w:rsidRPr="00624FDD">
        <w:rPr>
          <w:lang w:val="en-US"/>
        </w:rPr>
        <w:t>that</w:t>
      </w:r>
      <w:r w:rsidRPr="00624FDD">
        <w:rPr>
          <w:lang w:val="en-US"/>
        </w:rPr>
        <w:t xml:space="preserve"> emulates in the laboratory the jet + torus plasma configurations often observed in Astrophysics: an inner magnetized jet of plasma centered on the (approximate) axis of symmetry and surrounded by a magnetized plasma torus orthogonal to this jet. </w:t>
      </w:r>
      <w:r w:rsidRPr="00624FDD">
        <w:rPr>
          <w:color w:val="000000" w:themeColor="text1"/>
          <w:lang w:val="en-US"/>
        </w:rPr>
        <w:t>The</w:t>
      </w:r>
      <w:r w:rsidRPr="00624FDD">
        <w:rPr>
          <w:lang w:val="en-US"/>
        </w:rPr>
        <w:t xml:space="preserve"> PROTO-SPHERA plasma is simply connected, i.e. no metal current conducting rod is linked to the plasma torus, while </w:t>
      </w:r>
      <w:r w:rsidRPr="00624FDD">
        <w:rPr>
          <w:lang w:val="en-US"/>
        </w:rPr>
        <w:lastRenderedPageBreak/>
        <w:t>instead it is the inner magnetized plasma jet (in the following always called the plasma centerpost) that is linked to the torus. It is mandatory that no spurious plasma current path modifies the optimal shape of the plasma centerpost. Moreover, as the plasma torus is produced and sustained</w:t>
      </w:r>
      <w:r w:rsidR="00F641B2" w:rsidRPr="00624FDD">
        <w:rPr>
          <w:lang w:val="en-US"/>
        </w:rPr>
        <w:t>, in absence of any applied inductive electric field,</w:t>
      </w:r>
      <w:r w:rsidRPr="00624FDD">
        <w:rPr>
          <w:lang w:val="en-US"/>
        </w:rPr>
        <w:t xml:space="preserve"> by the inner plasma centerpost through magnetic reconnections [4], it is required as well that spurious current paths do not surround the torus on its outboard, in order not to lower the efficiency of the magnetic reconnections that maintain the plasma torus at the expense of the plasma centerpost. Boundary conditions</w:t>
      </w:r>
      <w:r w:rsidR="00F641B2" w:rsidRPr="00624FDD">
        <w:rPr>
          <w:lang w:val="en-US"/>
        </w:rPr>
        <w:t xml:space="preserve"> have been corrected</w:t>
      </w:r>
      <w:r w:rsidRPr="00624FDD">
        <w:rPr>
          <w:lang w:val="en-US"/>
        </w:rPr>
        <w:t xml:space="preserve">, </w:t>
      </w:r>
      <w:r w:rsidR="00F641B2" w:rsidRPr="00624FDD">
        <w:rPr>
          <w:color w:val="000000" w:themeColor="text1"/>
          <w:lang w:val="en-US"/>
        </w:rPr>
        <w:t>up to the point that</w:t>
      </w:r>
      <w:r w:rsidRPr="00624FDD">
        <w:rPr>
          <w:lang w:val="en-US"/>
        </w:rPr>
        <w:t xml:space="preserve"> the </w:t>
      </w:r>
      <w:r w:rsidR="00F641B2" w:rsidRPr="00624FDD">
        <w:rPr>
          <w:lang w:val="en-US"/>
        </w:rPr>
        <w:t xml:space="preserve">first </w:t>
      </w:r>
      <w:r w:rsidRPr="00624FDD">
        <w:rPr>
          <w:lang w:val="en-US"/>
        </w:rPr>
        <w:t xml:space="preserve">sustainment in steady state </w:t>
      </w:r>
      <w:r w:rsidR="00F641B2" w:rsidRPr="00624FDD">
        <w:rPr>
          <w:lang w:val="en-US"/>
        </w:rPr>
        <w:t xml:space="preserve">has been achieved for the </w:t>
      </w:r>
      <w:r w:rsidRPr="00624FDD">
        <w:rPr>
          <w:lang w:val="en-US"/>
        </w:rPr>
        <w:t>combined plasma.</w:t>
      </w:r>
    </w:p>
    <w:p w14:paraId="09953B5E" w14:textId="77777777" w:rsidR="000C28C4" w:rsidRPr="00624FDD" w:rsidRDefault="000C28C4" w:rsidP="00D121F4">
      <w:pPr>
        <w:spacing w:line="360" w:lineRule="auto"/>
        <w:jc w:val="both"/>
        <w:rPr>
          <w:lang w:val="en-US"/>
        </w:rPr>
      </w:pPr>
    </w:p>
    <w:p w14:paraId="3D1346DC" w14:textId="77777777" w:rsidR="000C28C4" w:rsidRPr="00624FDD" w:rsidRDefault="000C28C4" w:rsidP="00D121F4">
      <w:pPr>
        <w:spacing w:line="360" w:lineRule="auto"/>
        <w:jc w:val="both"/>
        <w:rPr>
          <w:b/>
          <w:bCs/>
          <w:lang w:val="en-US"/>
        </w:rPr>
      </w:pPr>
      <w:r w:rsidRPr="00624FDD">
        <w:rPr>
          <w:b/>
          <w:bCs/>
          <w:lang w:val="en-US"/>
        </w:rPr>
        <w:t>PACS numbers:</w:t>
      </w:r>
    </w:p>
    <w:p w14:paraId="27924B3A" w14:textId="77777777" w:rsidR="000C28C4" w:rsidRPr="00624FDD" w:rsidRDefault="000C28C4" w:rsidP="00D121F4">
      <w:pPr>
        <w:spacing w:line="360" w:lineRule="auto"/>
        <w:jc w:val="both"/>
        <w:rPr>
          <w:lang w:val="en-US"/>
        </w:rPr>
      </w:pPr>
      <w:r w:rsidRPr="00624FDD">
        <w:rPr>
          <w:b/>
          <w:lang w:val="en-US"/>
        </w:rPr>
        <w:t>Key words:</w:t>
      </w:r>
      <w:r w:rsidRPr="00624FDD">
        <w:rPr>
          <w:lang w:val="en-US"/>
        </w:rPr>
        <w:t xml:space="preserve"> astrophysical plasmas, laboratory plasmas, magnetic confinement</w:t>
      </w:r>
    </w:p>
    <w:p w14:paraId="325CB9BA" w14:textId="77777777" w:rsidR="000C28C4" w:rsidRPr="00F2105F" w:rsidRDefault="000C28C4" w:rsidP="00D121F4">
      <w:pPr>
        <w:spacing w:line="360" w:lineRule="auto"/>
        <w:jc w:val="both"/>
        <w:rPr>
          <w:rFonts w:ascii="Times" w:hAnsi="Times"/>
          <w:lang w:val="en-US"/>
        </w:rPr>
      </w:pPr>
    </w:p>
    <w:p w14:paraId="5E62895A" w14:textId="5D542470" w:rsidR="000C28C4" w:rsidRDefault="00E42CFF" w:rsidP="00E42CFF">
      <w:pPr>
        <w:pStyle w:val="Heading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Introduction: </w:t>
      </w:r>
      <w:r w:rsidRPr="00E42CFF">
        <w:rPr>
          <w:rFonts w:ascii="Times New Roman" w:hAnsi="Times New Roman" w:cs="Times New Roman"/>
          <w:color w:val="000000" w:themeColor="text1"/>
          <w:sz w:val="24"/>
          <w:szCs w:val="24"/>
        </w:rPr>
        <w:t>magnetic reconnections in Laboratory and Astrophysical plasmas</w:t>
      </w:r>
    </w:p>
    <w:p w14:paraId="0006D121" w14:textId="77777777" w:rsidR="00E42CFF" w:rsidRPr="00E42CFF" w:rsidRDefault="00E42CFF" w:rsidP="00E42CFF"/>
    <w:p w14:paraId="053C2D39" w14:textId="77777777" w:rsidR="000C28C4" w:rsidRPr="00793E5D" w:rsidRDefault="000C28C4" w:rsidP="00D121F4">
      <w:pPr>
        <w:jc w:val="both"/>
        <w:rPr>
          <w:color w:val="000000" w:themeColor="text1"/>
        </w:rPr>
      </w:pPr>
    </w:p>
    <w:p w14:paraId="709F89EB" w14:textId="2E0451FF" w:rsidR="000C28C4" w:rsidRPr="00793E5D" w:rsidRDefault="000C28C4" w:rsidP="00D121F4">
      <w:pPr>
        <w:adjustRightInd w:val="0"/>
        <w:spacing w:line="360" w:lineRule="auto"/>
        <w:jc w:val="both"/>
        <w:rPr>
          <w:lang w:val="en-US"/>
        </w:rPr>
      </w:pPr>
      <w:r w:rsidRPr="00793E5D">
        <w:rPr>
          <w:color w:val="000000" w:themeColor="text1"/>
        </w:rPr>
        <w:t>The phenomenon of magnetic reconnection is ubiquitous in astrophysical plasmas, from the terrestrial Magnetosphere [5], to the solar Corona [6</w:t>
      </w:r>
      <w:r w:rsidRPr="00793E5D">
        <w:rPr>
          <w:color w:val="000000" w:themeColor="text1"/>
          <w:spacing w:val="3"/>
        </w:rPr>
        <w:t>]</w:t>
      </w:r>
      <w:r w:rsidRPr="00793E5D">
        <w:rPr>
          <w:color w:val="000000" w:themeColor="text1"/>
        </w:rPr>
        <w:t xml:space="preserve">, until </w:t>
      </w:r>
      <w:r w:rsidR="00E44D8E" w:rsidRPr="00793E5D">
        <w:rPr>
          <w:color w:val="000000" w:themeColor="text1"/>
        </w:rPr>
        <w:t xml:space="preserve">to the Pulsar-wind </w:t>
      </w:r>
      <w:r w:rsidR="003D0131" w:rsidRPr="00793E5D">
        <w:rPr>
          <w:color w:val="000000" w:themeColor="text1"/>
        </w:rPr>
        <w:t>Nebulae</w:t>
      </w:r>
      <w:r w:rsidR="00A9603A" w:rsidRPr="00793E5D">
        <w:rPr>
          <w:color w:val="000000" w:themeColor="text1"/>
        </w:rPr>
        <w:t xml:space="preserve"> [</w:t>
      </w:r>
      <w:r w:rsidR="00B01EC7" w:rsidRPr="00793E5D">
        <w:rPr>
          <w:color w:val="000000" w:themeColor="text1"/>
          <w:lang w:val="en-US"/>
        </w:rPr>
        <w:t>7</w:t>
      </w:r>
      <w:r w:rsidR="004965F6" w:rsidRPr="00793E5D">
        <w:rPr>
          <w:rStyle w:val="name"/>
          <w:bCs/>
          <w:color w:val="000000" w:themeColor="text1"/>
          <w:lang w:val="en-US"/>
        </w:rPr>
        <w:t>,</w:t>
      </w:r>
      <w:r w:rsidR="00B01EC7" w:rsidRPr="00793E5D">
        <w:rPr>
          <w:color w:val="000000" w:themeColor="text1"/>
          <w:lang w:val="en-US"/>
        </w:rPr>
        <w:t>8</w:t>
      </w:r>
      <w:r w:rsidR="00A9603A" w:rsidRPr="00793E5D">
        <w:rPr>
          <w:color w:val="000000" w:themeColor="text1"/>
        </w:rPr>
        <w:t>]</w:t>
      </w:r>
      <w:r w:rsidR="001C3D7F" w:rsidRPr="00793E5D">
        <w:rPr>
          <w:color w:val="000000" w:themeColor="text1"/>
        </w:rPr>
        <w:t xml:space="preserve"> inside</w:t>
      </w:r>
      <w:r w:rsidRPr="00793E5D">
        <w:rPr>
          <w:color w:val="000000" w:themeColor="text1"/>
        </w:rPr>
        <w:t xml:space="preserve"> the Supernovae remnants </w:t>
      </w:r>
      <w:r w:rsidR="00561555" w:rsidRPr="00793E5D">
        <w:rPr>
          <w:rStyle w:val="name"/>
          <w:bCs/>
          <w:color w:val="000000" w:themeColor="text1"/>
        </w:rPr>
        <w:t>and to the AGN jets [</w:t>
      </w:r>
      <w:r w:rsidR="00B01EC7" w:rsidRPr="00793E5D">
        <w:rPr>
          <w:rStyle w:val="name"/>
          <w:bCs/>
          <w:color w:val="000000" w:themeColor="text1"/>
          <w:lang w:val="en-US"/>
        </w:rPr>
        <w:t>9</w:t>
      </w:r>
      <w:r w:rsidR="00561555" w:rsidRPr="00793E5D">
        <w:rPr>
          <w:rStyle w:val="name"/>
          <w:bCs/>
          <w:color w:val="000000" w:themeColor="text1"/>
        </w:rPr>
        <w:t>]</w:t>
      </w:r>
      <w:r w:rsidRPr="00793E5D">
        <w:rPr>
          <w:rStyle w:val="name"/>
          <w:bCs/>
          <w:color w:val="000000" w:themeColor="text1"/>
        </w:rPr>
        <w:t>, in order of increasing cosmic scale</w:t>
      </w:r>
      <w:r w:rsidRPr="00793E5D">
        <w:rPr>
          <w:color w:val="000000" w:themeColor="text1"/>
        </w:rPr>
        <w:t>. These phenomena can be so summarized: near a point, or a curve, where two magnetic field lines touch each other but have opposite field direction (so-called X-points), a "tearing" of those lines can occur, followed by a subsequent different "stitching" between them [</w:t>
      </w:r>
      <w:r w:rsidR="00E72F3D" w:rsidRPr="00793E5D">
        <w:rPr>
          <w:color w:val="000000" w:themeColor="text1"/>
          <w:lang w:val="en-US"/>
        </w:rPr>
        <w:t>10</w:t>
      </w:r>
      <w:r w:rsidRPr="00793E5D">
        <w:rPr>
          <w:color w:val="000000" w:themeColor="text1"/>
        </w:rPr>
        <w:t>]; the new resulting magnetic field configuration contains a lower energy and so the magnetic reconnection leads to an expulsion of energy from the magnetic field and to the consequent heating of the plasma itself [</w:t>
      </w:r>
      <w:r w:rsidR="00B01EC7" w:rsidRPr="00793E5D">
        <w:rPr>
          <w:color w:val="000000" w:themeColor="text1"/>
          <w:lang w:val="en-US"/>
        </w:rPr>
        <w:t>11</w:t>
      </w:r>
      <w:r w:rsidRPr="00793E5D">
        <w:rPr>
          <w:color w:val="000000" w:themeColor="text1"/>
        </w:rPr>
        <w:t>]. In magnetic reconnections, in addition to the transfer of energy, there is also a transfer of magnetic flux and of electric current [</w:t>
      </w:r>
      <w:r w:rsidR="00B01EC7" w:rsidRPr="00793E5D">
        <w:rPr>
          <w:color w:val="000000" w:themeColor="text1"/>
          <w:lang w:val="en-US"/>
        </w:rPr>
        <w:t>12</w:t>
      </w:r>
      <w:r w:rsidRPr="00793E5D">
        <w:rPr>
          <w:color w:val="000000" w:themeColor="text1"/>
        </w:rPr>
        <w:t xml:space="preserve">]. </w:t>
      </w:r>
    </w:p>
    <w:p w14:paraId="337AEEA3" w14:textId="41B4E8CA" w:rsidR="000C28C4" w:rsidRPr="00793E5D" w:rsidRDefault="000C28C4" w:rsidP="00D121F4">
      <w:pPr>
        <w:adjustRightInd w:val="0"/>
        <w:spacing w:line="360" w:lineRule="auto"/>
        <w:ind w:firstLine="284"/>
        <w:jc w:val="both"/>
        <w:rPr>
          <w:color w:val="000000" w:themeColor="text1"/>
        </w:rPr>
      </w:pPr>
      <w:r w:rsidRPr="00793E5D">
        <w:rPr>
          <w:color w:val="000000" w:themeColor="text1"/>
        </w:rPr>
        <w:t>The PROTO-SPHERA experiment [2-3] was built at the CR-ENEA in Frascati in order to study an innovative configuration of plasma magnetic confinement, in view of Controlled Fusion research, and it is quite different from the confinement experiments studied up to now. PROTO-SPHERA is an attempt to emulate in the laboratory the jet + torus plasma of the Crab Nebula [</w:t>
      </w:r>
      <w:r w:rsidR="00B01EC7" w:rsidRPr="00793E5D">
        <w:rPr>
          <w:color w:val="000000" w:themeColor="text1"/>
          <w:lang w:val="en-US"/>
        </w:rPr>
        <w:t>8</w:t>
      </w:r>
      <w:r w:rsidRPr="00793E5D">
        <w:rPr>
          <w:color w:val="000000" w:themeColor="text1"/>
        </w:rPr>
        <w:t>,</w:t>
      </w:r>
      <w:r w:rsidR="00B01EC7" w:rsidRPr="00793E5D">
        <w:rPr>
          <w:color w:val="000000" w:themeColor="text1"/>
          <w:lang w:val="en-US"/>
        </w:rPr>
        <w:t>13</w:t>
      </w:r>
      <w:r w:rsidRPr="00793E5D">
        <w:rPr>
          <w:color w:val="000000" w:themeColor="text1"/>
        </w:rPr>
        <w:t xml:space="preserve">]: an internal magnetized plasma centerpost (jet) on the axis of symmetry of the configuration, surrounded by a magnetized plasma torus orthogonal to the plasma centerpost, as shown in figure </w:t>
      </w:r>
      <w:r w:rsidRPr="00793E5D">
        <w:rPr>
          <w:color w:val="0070C0"/>
        </w:rPr>
        <w:t>1</w:t>
      </w:r>
      <w:r w:rsidRPr="00793E5D">
        <w:rPr>
          <w:color w:val="000000" w:themeColor="text1"/>
        </w:rPr>
        <w:t xml:space="preserve">. The confined plasma geometry is simply connected, as well as the geometry of the machine that encloses it: </w:t>
      </w:r>
      <w:r w:rsidR="00206A00" w:rsidRPr="00793E5D">
        <w:rPr>
          <w:color w:val="000000" w:themeColor="text1"/>
        </w:rPr>
        <w:t xml:space="preserve">no metal conductor is topologically linked to the plasma torus </w:t>
      </w:r>
      <w:r w:rsidR="00206A00" w:rsidRPr="00793E5D">
        <w:rPr>
          <w:color w:val="000000" w:themeColor="text1"/>
          <w:lang w:val="en-US"/>
        </w:rPr>
        <w:t xml:space="preserve">and consequently </w:t>
      </w:r>
      <w:r w:rsidRPr="00793E5D">
        <w:rPr>
          <w:color w:val="000000" w:themeColor="text1"/>
        </w:rPr>
        <w:t xml:space="preserve">the vacuum chamber is </w:t>
      </w:r>
      <w:r w:rsidR="00206A00" w:rsidRPr="00793E5D">
        <w:rPr>
          <w:color w:val="000000" w:themeColor="text1"/>
          <w:lang w:val="en-US"/>
        </w:rPr>
        <w:t xml:space="preserve">simply </w:t>
      </w:r>
      <w:r w:rsidRPr="00793E5D">
        <w:rPr>
          <w:color w:val="000000" w:themeColor="text1"/>
        </w:rPr>
        <w:t xml:space="preserve">a cylinder. The plasma centerpost is sustained by a DC voltage, applied between electrodes </w:t>
      </w:r>
      <w:r w:rsidRPr="00793E5D">
        <w:rPr>
          <w:color w:val="000000" w:themeColor="text1"/>
        </w:rPr>
        <w:lastRenderedPageBreak/>
        <w:t xml:space="preserve">internal to the vacuum vessel, and the plasma torus is formed by self-organization around the plasma centerpost: the lines of force that wind around the centerpost are broken and reconnected into lines of force that wind around the torus (DC Helicity Injection). The experiment is capable of sustaining the torus as long as the centerpost is kept running, provided that magnetic reconnections are recurring and that the magnetic flux transfer from the jet to the torus is </w:t>
      </w:r>
      <w:r w:rsidR="00206A00" w:rsidRPr="00793E5D">
        <w:rPr>
          <w:color w:val="000000" w:themeColor="text1"/>
          <w:lang w:val="en-US"/>
        </w:rPr>
        <w:t>efficient</w:t>
      </w:r>
      <w:r w:rsidR="005D7FE6">
        <w:rPr>
          <w:color w:val="000000" w:themeColor="text1"/>
        </w:rPr>
        <w:t xml:space="preserve"> enough.</w:t>
      </w:r>
    </w:p>
    <w:p w14:paraId="239FDE5D" w14:textId="44CF5D9D" w:rsidR="00793E5D" w:rsidRDefault="000C28C4" w:rsidP="00167065">
      <w:pPr>
        <w:adjustRightInd w:val="0"/>
        <w:spacing w:line="360" w:lineRule="auto"/>
        <w:ind w:firstLine="284"/>
        <w:jc w:val="both"/>
        <w:rPr>
          <w:color w:val="000000" w:themeColor="text1"/>
        </w:rPr>
      </w:pPr>
      <w:r w:rsidRPr="00793E5D">
        <w:rPr>
          <w:color w:val="000000" w:themeColor="text1"/>
        </w:rPr>
        <w:t>The first and unavoidable difference between PROTO-SPHERA and its cosmical examples is that in Astrophysics the containment force fulfilling the virial theorem is obviously the gravitational one, whereas in the case of a laboratory experiment the virial theorem must be fulfilled by means of the magnetic field produced by poloidal field coils (PF coils), external to the plasma configuration [</w:t>
      </w:r>
      <w:r w:rsidR="00B01EC7" w:rsidRPr="00793E5D">
        <w:rPr>
          <w:color w:val="000000" w:themeColor="text1"/>
          <w:lang w:val="en-US"/>
        </w:rPr>
        <w:t>14</w:t>
      </w:r>
      <w:r w:rsidRPr="00793E5D">
        <w:rPr>
          <w:color w:val="000000" w:themeColor="text1"/>
        </w:rPr>
        <w:t>], coils which are responsible for containing the expansive force of the current carrying plasma torus. The second difference is that the boundaries of some of these astrophysical configurations are often not in static equilibrium but keep on expanding, while slowing down, like in the case of the Supernova remnants [</w:t>
      </w:r>
      <w:r w:rsidR="00B01EC7" w:rsidRPr="00793E5D">
        <w:rPr>
          <w:color w:val="000000" w:themeColor="text1"/>
          <w:lang w:val="en-US"/>
        </w:rPr>
        <w:t>15</w:t>
      </w:r>
      <w:r w:rsidRPr="00793E5D">
        <w:rPr>
          <w:color w:val="000000" w:themeColor="text1"/>
        </w:rPr>
        <w:t xml:space="preserve">]. </w:t>
      </w:r>
      <w:r w:rsidR="00591FA7" w:rsidRPr="00793E5D">
        <w:rPr>
          <w:color w:val="000000" w:themeColor="text1"/>
        </w:rPr>
        <w:t xml:space="preserve">The third difference is that </w:t>
      </w:r>
      <w:r w:rsidR="001C3D7F" w:rsidRPr="00793E5D">
        <w:rPr>
          <w:color w:val="000000" w:themeColor="text1"/>
        </w:rPr>
        <w:t xml:space="preserve">in the Pulsar Wind Nebulae models the plasma current </w:t>
      </w:r>
      <w:r w:rsidR="004C593C" w:rsidRPr="00793E5D">
        <w:rPr>
          <w:color w:val="000000" w:themeColor="text1"/>
          <w:lang w:val="en-US"/>
        </w:rPr>
        <w:t>[</w:t>
      </w:r>
      <w:r w:rsidR="00B01EC7" w:rsidRPr="00793E5D">
        <w:rPr>
          <w:color w:val="000000" w:themeColor="text1"/>
          <w:lang w:val="en-US"/>
        </w:rPr>
        <w:t>16,17,18</w:t>
      </w:r>
      <w:r w:rsidR="004C593C" w:rsidRPr="00793E5D">
        <w:rPr>
          <w:color w:val="000000" w:themeColor="text1"/>
          <w:lang w:val="en-US"/>
        </w:rPr>
        <w:t xml:space="preserve">] </w:t>
      </w:r>
      <w:r w:rsidR="001C3D7F" w:rsidRPr="00793E5D">
        <w:rPr>
          <w:color w:val="000000" w:themeColor="text1"/>
        </w:rPr>
        <w:t>reverses direction in the 2 emispheres</w:t>
      </w:r>
      <w:r w:rsidR="0056615A" w:rsidRPr="00793E5D">
        <w:rPr>
          <w:color w:val="000000" w:themeColor="text1"/>
        </w:rPr>
        <w:t xml:space="preserve"> [</w:t>
      </w:r>
      <w:r w:rsidR="00B01EC7" w:rsidRPr="00793E5D">
        <w:rPr>
          <w:color w:val="000000" w:themeColor="text1"/>
          <w:lang w:val="en-US"/>
        </w:rPr>
        <w:t>19</w:t>
      </w:r>
      <w:r w:rsidR="0056615A" w:rsidRPr="00793E5D">
        <w:rPr>
          <w:color w:val="000000" w:themeColor="text1"/>
        </w:rPr>
        <w:t>]</w:t>
      </w:r>
      <w:r w:rsidR="001C3D7F" w:rsidRPr="00793E5D">
        <w:rPr>
          <w:color w:val="000000" w:themeColor="text1"/>
        </w:rPr>
        <w:t>, whereas in PROTO-SPHERA the plasma current density goes through the center of the magnetic configuration without changing direction.</w:t>
      </w:r>
      <w:r w:rsidR="00591FA7" w:rsidRPr="00793E5D">
        <w:rPr>
          <w:color w:val="000000" w:themeColor="text1"/>
        </w:rPr>
        <w:t xml:space="preserve"> </w:t>
      </w:r>
      <w:r w:rsidRPr="00793E5D">
        <w:rPr>
          <w:color w:val="000000" w:themeColor="text1"/>
        </w:rPr>
        <w:t xml:space="preserve">The </w:t>
      </w:r>
      <w:r w:rsidR="00591FA7" w:rsidRPr="00793E5D">
        <w:rPr>
          <w:color w:val="000000" w:themeColor="text1"/>
        </w:rPr>
        <w:t>final</w:t>
      </w:r>
      <w:r w:rsidRPr="00793E5D">
        <w:rPr>
          <w:color w:val="000000" w:themeColor="text1"/>
        </w:rPr>
        <w:t xml:space="preserve"> difference, which is less obvious, is that in Astrophysics, in the nonrelativistic approximation, the solenoidal condition for the plasma current density </w:t>
      </w:r>
      <w:r w:rsidR="00494E14" w:rsidRPr="00793E5D">
        <w:rPr>
          <w:noProof/>
          <w:position w:val="-4"/>
          <w:lang w:eastAsia="en-GB"/>
        </w:rPr>
        <w:drawing>
          <wp:inline distT="0" distB="0" distL="0" distR="0" wp14:anchorId="233CB046" wp14:editId="6A432F84">
            <wp:extent cx="508000" cy="216930"/>
            <wp:effectExtent l="0" t="0" r="0" b="0"/>
            <wp:docPr id="6" name="Picture 6"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8000" cy="216930"/>
                    </a:xfrm>
                    <a:prstGeom prst="rect">
                      <a:avLst/>
                    </a:prstGeom>
                  </pic:spPr>
                </pic:pic>
              </a:graphicData>
            </a:graphic>
          </wp:inline>
        </w:drawing>
      </w:r>
      <w:r w:rsidRPr="00793E5D">
        <w:rPr>
          <w:color w:val="000000" w:themeColor="text1"/>
          <w:lang w:val="en-US"/>
        </w:rPr>
        <w:t xml:space="preserve"> </w:t>
      </w:r>
      <w:r w:rsidRPr="00793E5D">
        <w:rPr>
          <w:color w:val="000000" w:themeColor="text1"/>
        </w:rPr>
        <w:t>is automatically satisfied everywhere [</w:t>
      </w:r>
      <w:r w:rsidR="00E54A7E" w:rsidRPr="00793E5D">
        <w:rPr>
          <w:color w:val="000000" w:themeColor="text1"/>
          <w:lang w:val="en-US"/>
        </w:rPr>
        <w:t>20</w:t>
      </w:r>
      <w:r w:rsidRPr="00793E5D">
        <w:rPr>
          <w:color w:val="000000" w:themeColor="text1"/>
        </w:rPr>
        <w:t>]; instead in a laboratory experiment there are nearby metallic conductors</w:t>
      </w:r>
      <w:r w:rsidR="00473263" w:rsidRPr="00793E5D">
        <w:rPr>
          <w:color w:val="000000" w:themeColor="text1"/>
          <w:lang w:val="en-US"/>
        </w:rPr>
        <w:t>,</w:t>
      </w:r>
      <w:r w:rsidRPr="00793E5D">
        <w:rPr>
          <w:color w:val="000000" w:themeColor="text1"/>
        </w:rPr>
        <w:t xml:space="preserve"> </w:t>
      </w:r>
      <w:r w:rsidR="00473263" w:rsidRPr="00793E5D">
        <w:rPr>
          <w:color w:val="000000" w:themeColor="text1"/>
          <w:lang w:val="en-US"/>
        </w:rPr>
        <w:t>which</w:t>
      </w:r>
      <w:r w:rsidRPr="00793E5D">
        <w:rPr>
          <w:color w:val="000000" w:themeColor="text1"/>
        </w:rPr>
        <w:t xml:space="preserve"> the plasma can charge</w:t>
      </w:r>
      <w:r w:rsidR="00473263" w:rsidRPr="00793E5D">
        <w:rPr>
          <w:color w:val="000000" w:themeColor="text1"/>
          <w:lang w:val="en-US"/>
        </w:rPr>
        <w:t>,</w:t>
      </w:r>
      <w:r w:rsidRPr="00793E5D">
        <w:rPr>
          <w:color w:val="000000" w:themeColor="text1"/>
        </w:rPr>
        <w:t xml:space="preserve"> and therefore divergences of the plasma current density can occur. On one hand the electric charging of these metal surfaces can induce the spontaneous rotation of the plasma around its symmetry axis, which makes the laboratory configuration more similar to the astrophysical ones, while on the other it can trigger the release of secondary spurious plasma currents. We will see in the following that the electrostatic boundary conditions are very critical for the stability of the jet + torus plasma configuration in the laboratory.</w:t>
      </w:r>
    </w:p>
    <w:p w14:paraId="52A20E25" w14:textId="2FF6BC6A" w:rsidR="00E42CFF" w:rsidRDefault="00E42CFF" w:rsidP="00167065">
      <w:pPr>
        <w:pStyle w:val="Heading1"/>
        <w:rPr>
          <w:color w:val="000000" w:themeColor="text1"/>
          <w:sz w:val="24"/>
          <w:szCs w:val="24"/>
        </w:rPr>
      </w:pPr>
      <w:r w:rsidRPr="00167065">
        <w:rPr>
          <w:color w:val="000000" w:themeColor="text1"/>
          <w:sz w:val="24"/>
          <w:szCs w:val="24"/>
        </w:rPr>
        <w:t>Purpose and aims of the experiment</w:t>
      </w:r>
    </w:p>
    <w:p w14:paraId="62471F15" w14:textId="77777777" w:rsidR="00167065" w:rsidRPr="00167065" w:rsidRDefault="00167065" w:rsidP="00167065"/>
    <w:p w14:paraId="3F645380" w14:textId="77777777" w:rsidR="000C28C4" w:rsidRPr="00793E5D" w:rsidRDefault="000C28C4" w:rsidP="00D121F4">
      <w:pPr>
        <w:pStyle w:val="Heading2"/>
        <w:spacing w:line="360" w:lineRule="auto"/>
        <w:jc w:val="both"/>
        <w:rPr>
          <w:rFonts w:ascii="Times New Roman" w:hAnsi="Times New Roman" w:cs="Times New Roman"/>
          <w:b w:val="0"/>
          <w:i/>
          <w:color w:val="000000" w:themeColor="text1"/>
          <w:sz w:val="24"/>
          <w:szCs w:val="24"/>
        </w:rPr>
      </w:pPr>
      <w:r w:rsidRPr="00793E5D">
        <w:rPr>
          <w:rFonts w:ascii="Times New Roman" w:hAnsi="Times New Roman" w:cs="Times New Roman"/>
          <w:b w:val="0"/>
          <w:i/>
          <w:color w:val="000000" w:themeColor="text1"/>
          <w:sz w:val="24"/>
          <w:szCs w:val="24"/>
        </w:rPr>
        <w:t>A confinement experiment based upon magnetic reconnections</w:t>
      </w:r>
    </w:p>
    <w:p w14:paraId="06E426A7" w14:textId="77777777" w:rsidR="000C28C4" w:rsidRPr="00F2105F" w:rsidRDefault="000C28C4" w:rsidP="00D121F4">
      <w:pPr>
        <w:jc w:val="both"/>
      </w:pPr>
    </w:p>
    <w:p w14:paraId="79AB7D47" w14:textId="3F39086F" w:rsidR="000C28C4" w:rsidRPr="001B5B5B" w:rsidRDefault="000C28C4" w:rsidP="00D121F4">
      <w:pPr>
        <w:spacing w:line="360" w:lineRule="auto"/>
        <w:jc w:val="both"/>
        <w:rPr>
          <w:color w:val="000000" w:themeColor="text1"/>
          <w:lang w:val="en-US"/>
        </w:rPr>
      </w:pPr>
      <w:r w:rsidRPr="001B5B5B">
        <w:rPr>
          <w:color w:val="000000" w:themeColor="text1"/>
        </w:rPr>
        <w:t>The presence of a toroidal field B</w:t>
      </w:r>
      <w:r w:rsidRPr="001B5B5B">
        <w:rPr>
          <w:color w:val="000000" w:themeColor="text1"/>
          <w:vertAlign w:val="subscript"/>
        </w:rPr>
        <w:t>T</w:t>
      </w:r>
      <w:r w:rsidRPr="001B5B5B">
        <w:rPr>
          <w:color w:val="000000" w:themeColor="text1"/>
        </w:rPr>
        <w:t xml:space="preserve"> in PROTO-SPHERA is </w:t>
      </w:r>
      <w:r w:rsidR="00473263" w:rsidRPr="001B5B5B">
        <w:rPr>
          <w:color w:val="000000" w:themeColor="text1"/>
          <w:lang w:val="en-US"/>
        </w:rPr>
        <w:t>a straight</w:t>
      </w:r>
      <w:r w:rsidRPr="001B5B5B">
        <w:rPr>
          <w:color w:val="000000" w:themeColor="text1"/>
        </w:rPr>
        <w:t xml:space="preserve"> consequence of Maxwell’s equations (Ampere’s theorem), provided that the electrodes are able to produce the plasma current I</w:t>
      </w:r>
      <w:r w:rsidRPr="001B5B5B">
        <w:rPr>
          <w:color w:val="000000" w:themeColor="text1"/>
          <w:vertAlign w:val="subscript"/>
        </w:rPr>
        <w:t>CP</w:t>
      </w:r>
      <w:r w:rsidRPr="001B5B5B">
        <w:rPr>
          <w:color w:val="000000" w:themeColor="text1"/>
        </w:rPr>
        <w:t xml:space="preserve"> in the centerpost discharge, according to the design specifications. However, in astrophysical examples and in the PROTO-SPHERA machine, the existence of the confined plasma, i.e. of a torus </w:t>
      </w:r>
      <w:r w:rsidRPr="001B5B5B">
        <w:rPr>
          <w:color w:val="000000" w:themeColor="text1"/>
        </w:rPr>
        <w:lastRenderedPageBreak/>
        <w:t>carrying a current I</w:t>
      </w:r>
      <w:r w:rsidRPr="001B5B5B">
        <w:rPr>
          <w:color w:val="000000" w:themeColor="text1"/>
          <w:vertAlign w:val="subscript"/>
        </w:rPr>
        <w:t>ST</w:t>
      </w:r>
      <w:r w:rsidRPr="001B5B5B">
        <w:rPr>
          <w:color w:val="000000" w:themeColor="text1"/>
        </w:rPr>
        <w:t>, around the plasma jet (or centerpost) relies on plasma-dynamic phenomena, in particular on magnetic reconnections, where dissipative phenomena, such as plasma resistivity or viscosity, play a crucial role. It is a general observation that nature is able to form resilient toroidal configurations in fluid media where jet stream forces act. The most obvious fluid-dynamical analogies are the smoke rings, that are produced by straight jets of steam from erupting volcanoes [</w:t>
      </w:r>
      <w:r w:rsidR="00E54A7E" w:rsidRPr="001B5B5B">
        <w:rPr>
          <w:color w:val="000000" w:themeColor="text1"/>
          <w:lang w:val="en-US"/>
        </w:rPr>
        <w:t>21</w:t>
      </w:r>
      <w:r w:rsidRPr="001B5B5B">
        <w:rPr>
          <w:color w:val="000000" w:themeColor="text1"/>
        </w:rPr>
        <w:t>]</w:t>
      </w:r>
      <w:r w:rsidRPr="001B5B5B">
        <w:rPr>
          <w:color w:val="000000" w:themeColor="text1"/>
          <w:vertAlign w:val="superscript"/>
        </w:rPr>
        <w:t xml:space="preserve"> </w:t>
      </w:r>
      <w:r w:rsidRPr="001B5B5B">
        <w:rPr>
          <w:color w:val="000000" w:themeColor="text1"/>
        </w:rPr>
        <w:t>as well as by skilled cigarettes smokers, but also the the air rings that are created and supported underwater by playful cetaceans [</w:t>
      </w:r>
      <w:r w:rsidR="00E54A7E" w:rsidRPr="001B5B5B">
        <w:rPr>
          <w:color w:val="000000" w:themeColor="text1"/>
          <w:lang w:val="en-US"/>
        </w:rPr>
        <w:t>22</w:t>
      </w:r>
      <w:r w:rsidRPr="001B5B5B">
        <w:rPr>
          <w:rFonts w:eastAsiaTheme="minorEastAsia"/>
          <w:color w:val="000000" w:themeColor="text1"/>
        </w:rPr>
        <w:t>]</w:t>
      </w:r>
      <w:r w:rsidRPr="001B5B5B">
        <w:rPr>
          <w:color w:val="000000" w:themeColor="text1"/>
        </w:rPr>
        <w:t>. The vortex rings are due to the presence of a jet stream of a fast-moving fluid in a distinct fluid quiescent background. The shear imposed at the interface between the two fluids slows down the outer layer of the fast-moving fluid relatively to the centerline one. The fluid spins around a closed loop forming a toroidal vortex.</w:t>
      </w:r>
    </w:p>
    <w:p w14:paraId="42F1F7DE" w14:textId="1FEFFD2E" w:rsidR="000C28C4" w:rsidRPr="001B5B5B" w:rsidRDefault="000C28C4" w:rsidP="00D121F4">
      <w:pPr>
        <w:spacing w:line="360" w:lineRule="auto"/>
        <w:ind w:firstLine="284"/>
        <w:jc w:val="both"/>
        <w:rPr>
          <w:color w:val="000000" w:themeColor="text1"/>
        </w:rPr>
      </w:pPr>
      <w:r w:rsidRPr="001B5B5B">
        <w:rPr>
          <w:color w:val="000000" w:themeColor="text1"/>
        </w:rPr>
        <w:t>In the magnetic reconnections, in addition to the transfer of energy, there is also a transfer of magnetic flux and of electric current: in the case of PROTO-SPHERA part of the toroidal electric current, which is wrapped inside the plasma centerpost discharge, is therefore transferred to wrap inside the surrounding torus, right through the tears that occur on the two circles of ordinary X-points. Many aspects of magnetic reconnection are still today poorly understood [</w:t>
      </w:r>
      <w:r w:rsidR="00E54A7E" w:rsidRPr="001B5B5B">
        <w:rPr>
          <w:color w:val="000000" w:themeColor="text1"/>
          <w:lang w:val="en-US"/>
        </w:rPr>
        <w:t>23</w:t>
      </w:r>
      <w:r w:rsidRPr="001B5B5B">
        <w:rPr>
          <w:iCs/>
          <w:color w:val="000000" w:themeColor="text1"/>
        </w:rPr>
        <w:t>]</w:t>
      </w:r>
      <w:r w:rsidRPr="001B5B5B">
        <w:rPr>
          <w:color w:val="000000" w:themeColor="text1"/>
        </w:rPr>
        <w:t>: even the reconnection time is assessed differently on the basis of different theoretical models [</w:t>
      </w:r>
      <w:r w:rsidR="00E54A7E" w:rsidRPr="001B5B5B">
        <w:rPr>
          <w:color w:val="000000" w:themeColor="text1"/>
          <w:lang w:val="en-US"/>
        </w:rPr>
        <w:t>24</w:t>
      </w:r>
      <w:r w:rsidRPr="001B5B5B">
        <w:rPr>
          <w:rFonts w:eastAsiaTheme="minorEastAsia"/>
          <w:color w:val="000000" w:themeColor="text1"/>
        </w:rPr>
        <w:t>]</w:t>
      </w:r>
      <w:r w:rsidRPr="001B5B5B">
        <w:rPr>
          <w:color w:val="000000" w:themeColor="text1"/>
        </w:rPr>
        <w:t xml:space="preserve">. </w:t>
      </w:r>
      <w:r w:rsidR="00EE63D4" w:rsidRPr="001B5B5B">
        <w:rPr>
          <w:color w:val="000000" w:themeColor="text1"/>
          <w:lang w:val="en-US"/>
        </w:rPr>
        <w:t>In</w:t>
      </w:r>
      <w:r w:rsidR="00693C69" w:rsidRPr="001B5B5B">
        <w:rPr>
          <w:color w:val="000000" w:themeColor="text1"/>
          <w:lang w:val="en-US"/>
        </w:rPr>
        <w:t xml:space="preserve"> magnetic confinement experiments magnetic reconnections </w:t>
      </w:r>
      <w:r w:rsidR="00EE63D4" w:rsidRPr="001B5B5B">
        <w:rPr>
          <w:color w:val="000000" w:themeColor="text1"/>
          <w:lang w:val="en-US"/>
        </w:rPr>
        <w:t>tipically</w:t>
      </w:r>
      <w:r w:rsidR="00693C69" w:rsidRPr="001B5B5B">
        <w:rPr>
          <w:color w:val="000000" w:themeColor="text1"/>
          <w:lang w:val="en-US"/>
        </w:rPr>
        <w:t xml:space="preserve"> have </w:t>
      </w:r>
      <w:r w:rsidR="00EE63D4" w:rsidRPr="001B5B5B">
        <w:rPr>
          <w:color w:val="000000" w:themeColor="text1"/>
          <w:lang w:val="en-US"/>
        </w:rPr>
        <w:t xml:space="preserve">more adverse than advantageous effects, as </w:t>
      </w:r>
      <w:r w:rsidR="00EE63D4" w:rsidRPr="001B5B5B">
        <w:rPr>
          <w:lang w:val="en-US"/>
        </w:rPr>
        <w:t>often they spoil the integrity of the magnetic toroidal flux surfaces, but</w:t>
      </w:r>
      <w:r w:rsidR="00EE63D4" w:rsidRPr="001B5B5B">
        <w:rPr>
          <w:color w:val="000000" w:themeColor="text1"/>
          <w:lang w:val="en-US"/>
        </w:rPr>
        <w:t xml:space="preserve"> a very</w:t>
      </w:r>
      <w:r w:rsidRPr="001B5B5B">
        <w:rPr>
          <w:color w:val="000000" w:themeColor="text1"/>
        </w:rPr>
        <w:t xml:space="preserve"> </w:t>
      </w:r>
      <w:r w:rsidR="00BD367D" w:rsidRPr="001B5B5B">
        <w:rPr>
          <w:color w:val="000000" w:themeColor="text1"/>
          <w:lang w:val="en-US"/>
        </w:rPr>
        <w:t>relevant</w:t>
      </w:r>
      <w:r w:rsidRPr="001B5B5B">
        <w:rPr>
          <w:color w:val="000000" w:themeColor="text1"/>
        </w:rPr>
        <w:t xml:space="preserve"> aspect is </w:t>
      </w:r>
      <w:r w:rsidR="00EE63D4" w:rsidRPr="001B5B5B">
        <w:rPr>
          <w:color w:val="000000" w:themeColor="text1"/>
          <w:lang w:val="en-US"/>
        </w:rPr>
        <w:t xml:space="preserve">their </w:t>
      </w:r>
      <w:r w:rsidRPr="001B5B5B">
        <w:rPr>
          <w:color w:val="000000" w:themeColor="text1"/>
        </w:rPr>
        <w:t>ability to accelerate, out of thermal equilibrium, the plasma electrons</w:t>
      </w:r>
      <w:r w:rsidR="00EE63D4" w:rsidRPr="001B5B5B">
        <w:rPr>
          <w:color w:val="000000" w:themeColor="text1"/>
          <w:lang w:val="en-US"/>
        </w:rPr>
        <w:t xml:space="preserve">: </w:t>
      </w:r>
      <w:r w:rsidRPr="001B5B5B">
        <w:rPr>
          <w:color w:val="000000" w:themeColor="text1"/>
        </w:rPr>
        <w:t>a characteristic that causes sudden X-ray emissions [</w:t>
      </w:r>
      <w:r w:rsidR="00A61AEB" w:rsidRPr="001B5B5B">
        <w:rPr>
          <w:color w:val="000000" w:themeColor="text1"/>
          <w:lang w:val="en-US"/>
        </w:rPr>
        <w:t>25</w:t>
      </w:r>
      <w:r w:rsidRPr="001B5B5B">
        <w:rPr>
          <w:rFonts w:eastAsiaTheme="minorEastAsia"/>
          <w:color w:val="000000" w:themeColor="text1"/>
        </w:rPr>
        <w:t xml:space="preserve">]. </w:t>
      </w:r>
      <w:r w:rsidRPr="001B5B5B">
        <w:rPr>
          <w:color w:val="000000" w:themeColor="text1"/>
        </w:rPr>
        <w:t>Furthermore, the magnetic reconnections, by converting a part of the magnetic energy of the field into the kinetic energy of the plasma, are also able to heat the plasma [</w:t>
      </w:r>
      <w:r w:rsidR="00E72F3D" w:rsidRPr="001B5B5B">
        <w:rPr>
          <w:color w:val="000000" w:themeColor="text1"/>
          <w:lang w:val="en-US"/>
        </w:rPr>
        <w:t>11</w:t>
      </w:r>
      <w:r w:rsidRPr="001B5B5B">
        <w:rPr>
          <w:color w:val="000000" w:themeColor="text1"/>
        </w:rPr>
        <w:t xml:space="preserve">], </w:t>
      </w:r>
      <w:r w:rsidR="006D4FD6" w:rsidRPr="001B5B5B">
        <w:rPr>
          <w:color w:val="000000" w:themeColor="text1"/>
          <w:lang w:val="en-US"/>
        </w:rPr>
        <w:t xml:space="preserve">by </w:t>
      </w:r>
      <w:r w:rsidRPr="001B5B5B">
        <w:rPr>
          <w:color w:val="000000" w:themeColor="text1"/>
        </w:rPr>
        <w:t>affecting the thermal component of its distribution function; this characteristic makes magnetic reconnections extremely interesting in the pursuit of controlled fusion. A heating method based on natural phenomena, intrinsically produced by the self-organization of the plasma configuration, could prove to be more effective than the heating methods that have to resort to additional heating devices, located outside the machine that produces and confines the plasma, as building the former is often even more complicated than building the latter. The possibility of obtaining the heating of the plasma by magnetic reconnections is suggested by the Astrophysics of the Sun: today a credited hypothesis for the high temperature of the Solar Corona (from 4500-6000 ºK of the underlying Solar Photosphere to millions of ºK of the outer Corona) is that it is due to the magnetized flux tubes rising from the thin solar Tachocline, crossing the whole convective region of the Sun, piercing the Photosphere and the Chromosphere and finally undergoing magnetic reconnections (such as solar flares) and releasing thermal energy to the lower density plasma of the Solar Corona [</w:t>
      </w:r>
      <w:r w:rsidR="00A61AEB" w:rsidRPr="001B5B5B">
        <w:rPr>
          <w:color w:val="000000" w:themeColor="text1"/>
          <w:lang w:val="en-US"/>
        </w:rPr>
        <w:t>26,27</w:t>
      </w:r>
      <w:r w:rsidRPr="001B5B5B">
        <w:rPr>
          <w:color w:val="000000" w:themeColor="text1"/>
        </w:rPr>
        <w:t>].</w:t>
      </w:r>
    </w:p>
    <w:p w14:paraId="57BEC8DA" w14:textId="77777777" w:rsidR="000C28C4" w:rsidRDefault="000C28C4" w:rsidP="00D121F4">
      <w:pPr>
        <w:spacing w:line="360" w:lineRule="auto"/>
        <w:jc w:val="both"/>
        <w:rPr>
          <w:color w:val="000000" w:themeColor="text1"/>
        </w:rPr>
      </w:pPr>
    </w:p>
    <w:p w14:paraId="4CA0EEC8" w14:textId="77777777" w:rsidR="00C5093E" w:rsidRPr="00A35124" w:rsidRDefault="00C5093E" w:rsidP="00D121F4">
      <w:pPr>
        <w:spacing w:line="360" w:lineRule="auto"/>
        <w:jc w:val="both"/>
        <w:rPr>
          <w:color w:val="000000" w:themeColor="text1"/>
        </w:rPr>
      </w:pPr>
    </w:p>
    <w:p w14:paraId="4D2C3ECB" w14:textId="77777777" w:rsidR="000C28C4" w:rsidRPr="000A49BC" w:rsidRDefault="000C28C4" w:rsidP="00D121F4">
      <w:pPr>
        <w:pStyle w:val="Heading2"/>
        <w:spacing w:line="360" w:lineRule="auto"/>
        <w:jc w:val="both"/>
        <w:rPr>
          <w:rFonts w:ascii="Times New Roman" w:hAnsi="Times New Roman" w:cs="Times New Roman"/>
          <w:b w:val="0"/>
          <w:i/>
          <w:color w:val="000000" w:themeColor="text1"/>
          <w:sz w:val="24"/>
          <w:szCs w:val="24"/>
        </w:rPr>
      </w:pPr>
      <w:r w:rsidRPr="000A49BC">
        <w:rPr>
          <w:rFonts w:ascii="Times New Roman" w:hAnsi="Times New Roman" w:cs="Times New Roman"/>
          <w:b w:val="0"/>
          <w:i/>
          <w:color w:val="000000" w:themeColor="text1"/>
          <w:sz w:val="24"/>
          <w:szCs w:val="24"/>
        </w:rPr>
        <w:t>The PROTO-SPHERA configuration</w:t>
      </w:r>
    </w:p>
    <w:p w14:paraId="3571C54B" w14:textId="77777777" w:rsidR="000C28C4" w:rsidRPr="00F2105F" w:rsidRDefault="000C28C4" w:rsidP="00D121F4">
      <w:pPr>
        <w:jc w:val="both"/>
      </w:pPr>
    </w:p>
    <w:p w14:paraId="68AA9606" w14:textId="021CA704" w:rsidR="000C28C4" w:rsidRPr="00874575" w:rsidRDefault="000C28C4" w:rsidP="00D121F4">
      <w:pPr>
        <w:adjustRightInd w:val="0"/>
        <w:spacing w:line="360" w:lineRule="auto"/>
        <w:ind w:right="-7"/>
        <w:jc w:val="both"/>
        <w:rPr>
          <w:color w:val="000000" w:themeColor="text1"/>
        </w:rPr>
      </w:pPr>
      <w:r w:rsidRPr="00874575">
        <w:rPr>
          <w:color w:val="000000" w:themeColor="text1"/>
        </w:rPr>
        <w:t>The PROTO-SPHERA experiment is a magnetic confinement configuration with axial symmetry, just like the Tokamak [</w:t>
      </w:r>
      <w:r w:rsidR="00A61AEB" w:rsidRPr="00874575">
        <w:rPr>
          <w:color w:val="000000" w:themeColor="text1"/>
          <w:lang w:val="en-US"/>
        </w:rPr>
        <w:t>28</w:t>
      </w:r>
      <w:r w:rsidRPr="00874575">
        <w:rPr>
          <w:color w:val="000000" w:themeColor="text1"/>
        </w:rPr>
        <w:t>]: the plasma, studied in view of controlled fusion nuclear reactions, must take the form of a torus and there are two indispensable requirements for confining it. First there must be a toroidal magnetic field B</w:t>
      </w:r>
      <w:r w:rsidRPr="00874575">
        <w:rPr>
          <w:color w:val="000000" w:themeColor="text1"/>
          <w:vertAlign w:val="subscript"/>
        </w:rPr>
        <w:t>T</w:t>
      </w:r>
      <w:r w:rsidRPr="00874575">
        <w:rPr>
          <w:color w:val="000000" w:themeColor="text1"/>
        </w:rPr>
        <w:t xml:space="preserve"> (directed along the large circle of the torus) and second a poloidal magnetic field B</w:t>
      </w:r>
      <w:r w:rsidRPr="00874575">
        <w:rPr>
          <w:color w:val="000000" w:themeColor="text1"/>
          <w:vertAlign w:val="subscript"/>
        </w:rPr>
        <w:t>pol</w:t>
      </w:r>
      <w:r w:rsidRPr="00874575">
        <w:rPr>
          <w:color w:val="000000" w:themeColor="text1"/>
        </w:rPr>
        <w:t xml:space="preserve"> (directed along the small circle of the torus), this last requirement is equivalent to the presence of a toroidal electric current flowing</w:t>
      </w:r>
      <w:r w:rsidR="000E1273" w:rsidRPr="00874575">
        <w:rPr>
          <w:color w:val="000000" w:themeColor="text1"/>
        </w:rPr>
        <w:t xml:space="preserve"> inside the plasma torus.</w:t>
      </w:r>
    </w:p>
    <w:p w14:paraId="734A64D4" w14:textId="77777777" w:rsidR="000C28C4" w:rsidRPr="00F2105F" w:rsidRDefault="000C28C4" w:rsidP="00D121F4">
      <w:pPr>
        <w:adjustRightInd w:val="0"/>
        <w:spacing w:line="360" w:lineRule="auto"/>
        <w:ind w:right="-7"/>
        <w:jc w:val="both"/>
        <w:rPr>
          <w:rFonts w:ascii="Times" w:hAnsi="Times"/>
          <w:color w:val="000000" w:themeColor="text1"/>
        </w:rPr>
      </w:pPr>
    </w:p>
    <w:tbl>
      <w:tblPr>
        <w:tblStyle w:val="TableGrid"/>
        <w:tblpPr w:leftFromText="180" w:rightFromText="180" w:vertAnchor="text" w:horzAnchor="margin"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2C1E332A" w14:textId="77777777" w:rsidTr="009F1708">
        <w:tc>
          <w:tcPr>
            <w:tcW w:w="9638" w:type="dxa"/>
          </w:tcPr>
          <w:p w14:paraId="080B1480" w14:textId="77777777" w:rsidR="000C28C4" w:rsidRPr="00F2105F" w:rsidRDefault="000C28C4" w:rsidP="00D121F4">
            <w:pPr>
              <w:adjustRightInd w:val="0"/>
              <w:spacing w:line="360" w:lineRule="auto"/>
              <w:ind w:right="-7"/>
              <w:jc w:val="both"/>
              <w:rPr>
                <w:color w:val="222222"/>
              </w:rPr>
            </w:pPr>
            <w:r w:rsidRPr="00F2105F">
              <w:rPr>
                <w:noProof/>
                <w:color w:val="222222"/>
                <w:lang w:eastAsia="en-GB"/>
              </w:rPr>
              <w:drawing>
                <wp:inline distT="0" distB="0" distL="0" distR="0" wp14:anchorId="0FB617CB" wp14:editId="57BB81F0">
                  <wp:extent cx="6282000" cy="2890800"/>
                  <wp:effectExtent l="0" t="0" r="5080" b="508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2000" cy="2890800"/>
                          </a:xfrm>
                          <a:prstGeom prst="rect">
                            <a:avLst/>
                          </a:prstGeom>
                          <a:noFill/>
                        </pic:spPr>
                      </pic:pic>
                    </a:graphicData>
                  </a:graphic>
                </wp:inline>
              </w:drawing>
            </w:r>
          </w:p>
        </w:tc>
      </w:tr>
      <w:tr w:rsidR="000C28C4" w:rsidRPr="00F2105F" w14:paraId="010CF6BF" w14:textId="77777777" w:rsidTr="009F1708">
        <w:tc>
          <w:tcPr>
            <w:tcW w:w="9638" w:type="dxa"/>
          </w:tcPr>
          <w:p w14:paraId="1D9DA2BC" w14:textId="77777777" w:rsidR="000C28C4" w:rsidRPr="0097077A" w:rsidRDefault="000C28C4" w:rsidP="00D121F4">
            <w:pPr>
              <w:spacing w:line="360" w:lineRule="auto"/>
              <w:jc w:val="both"/>
              <w:rPr>
                <w:b/>
                <w:bCs/>
                <w:sz w:val="20"/>
                <w:szCs w:val="20"/>
              </w:rPr>
            </w:pPr>
          </w:p>
          <w:p w14:paraId="4378BCEB" w14:textId="77777777" w:rsidR="000C28C4" w:rsidRPr="0097077A" w:rsidRDefault="000C28C4" w:rsidP="00D121F4">
            <w:pPr>
              <w:spacing w:line="360" w:lineRule="auto"/>
              <w:jc w:val="both"/>
              <w:rPr>
                <w:sz w:val="20"/>
                <w:szCs w:val="20"/>
              </w:rPr>
            </w:pPr>
            <w:r w:rsidRPr="0097077A">
              <w:rPr>
                <w:b/>
                <w:bCs/>
                <w:sz w:val="20"/>
                <w:szCs w:val="20"/>
              </w:rPr>
              <w:t xml:space="preserve">Figure 1. </w:t>
            </w:r>
            <w:r w:rsidRPr="0097077A">
              <w:rPr>
                <w:sz w:val="20"/>
                <w:szCs w:val="20"/>
              </w:rPr>
              <w:t>(a) Scheme of a Tokamak (top) and of PROTO-SPHERA (bottom): pink colour is for plasma, gray for vessel, orange for metal bars, blue for electrodes. (b) Poloidal cross-section of PROTO-SPHERA plasma, CP stands for centerpost, ST for torus,</w:t>
            </w:r>
            <w:r w:rsidRPr="0097077A">
              <w:rPr>
                <w:noProof/>
                <w:sz w:val="20"/>
                <w:szCs w:val="20"/>
              </w:rPr>
              <w:t xml:space="preserve"> the mechanical structures of the poloidal field coils are removed from the scheme</w:t>
            </w:r>
            <w:r w:rsidRPr="0097077A">
              <w:rPr>
                <w:sz w:val="20"/>
                <w:szCs w:val="20"/>
              </w:rPr>
              <w:t>. (c) Perspective sketch of the plasma and of the annular electrodes.  (d) View of the annular anode (top) and of the annular cathode (bottom).</w:t>
            </w:r>
          </w:p>
          <w:p w14:paraId="09F46D2C" w14:textId="77777777" w:rsidR="000C28C4" w:rsidRPr="0097077A" w:rsidRDefault="000C28C4" w:rsidP="00D121F4">
            <w:pPr>
              <w:spacing w:line="360" w:lineRule="auto"/>
              <w:jc w:val="both"/>
            </w:pPr>
          </w:p>
        </w:tc>
      </w:tr>
    </w:tbl>
    <w:p w14:paraId="6962B4FB" w14:textId="57234D3A" w:rsidR="000C28C4" w:rsidRPr="002754B7" w:rsidRDefault="000C28C4" w:rsidP="00D121F4">
      <w:pPr>
        <w:adjustRightInd w:val="0"/>
        <w:spacing w:line="360" w:lineRule="auto"/>
        <w:ind w:right="-7"/>
        <w:jc w:val="both"/>
        <w:rPr>
          <w:color w:val="000000" w:themeColor="text1"/>
        </w:rPr>
      </w:pPr>
      <w:r w:rsidRPr="002754B7">
        <w:rPr>
          <w:color w:val="000000" w:themeColor="text1"/>
        </w:rPr>
        <w:t>The plasma</w:t>
      </w:r>
      <w:r w:rsidR="00960F55" w:rsidRPr="002754B7">
        <w:rPr>
          <w:color w:val="000000" w:themeColor="text1"/>
          <w:lang w:val="en-US"/>
        </w:rPr>
        <w:t xml:space="preserve"> </w:t>
      </w:r>
      <w:r w:rsidRPr="002754B7">
        <w:rPr>
          <w:color w:val="000000" w:themeColor="text1"/>
        </w:rPr>
        <w:t xml:space="preserve">thus becomes organized according to magnetic flux surfaces, each contained inside another; on every flux surface the lines of magnetic force are wrapped along helices, as in figure </w:t>
      </w:r>
      <w:r w:rsidRPr="002754B7">
        <w:rPr>
          <w:color w:val="0070C0"/>
        </w:rPr>
        <w:t>1</w:t>
      </w:r>
      <w:r w:rsidRPr="002754B7">
        <w:rPr>
          <w:color w:val="000000" w:themeColor="text1"/>
        </w:rPr>
        <w:t>(a).</w:t>
      </w:r>
    </w:p>
    <w:p w14:paraId="0AC5F8D9" w14:textId="53FA3DB9" w:rsidR="000C28C4" w:rsidRPr="002754B7" w:rsidRDefault="000C28C4" w:rsidP="009A3C33">
      <w:pPr>
        <w:adjustRightInd w:val="0"/>
        <w:spacing w:line="360" w:lineRule="auto"/>
        <w:ind w:right="-7" w:firstLine="284"/>
        <w:jc w:val="both"/>
        <w:rPr>
          <w:color w:val="000000" w:themeColor="text1"/>
        </w:rPr>
      </w:pPr>
      <w:r w:rsidRPr="002754B7">
        <w:rPr>
          <w:color w:val="000000" w:themeColor="text1"/>
        </w:rPr>
        <w:t xml:space="preserve">PROTO-SPHERA is a variant of the Tokamak configuration, in which a central plasma discharge, dubbed CP in figure </w:t>
      </w:r>
      <w:r w:rsidRPr="002754B7">
        <w:rPr>
          <w:color w:val="0070C0"/>
        </w:rPr>
        <w:t>1</w:t>
      </w:r>
      <w:r w:rsidRPr="002754B7">
        <w:rPr>
          <w:color w:val="000000" w:themeColor="text1"/>
        </w:rPr>
        <w:t xml:space="preserve">(b) and surrounded by the torus, dubbed ST, </w:t>
      </w:r>
      <w:r w:rsidR="00BD367D" w:rsidRPr="002754B7">
        <w:rPr>
          <w:color w:val="000000" w:themeColor="text1"/>
          <w:lang w:val="en-US"/>
        </w:rPr>
        <w:t>replaces</w:t>
      </w:r>
      <w:r w:rsidRPr="002754B7">
        <w:rPr>
          <w:color w:val="000000" w:themeColor="text1"/>
        </w:rPr>
        <w:t xml:space="preserve"> both central metal conductors: the inner side of the toroidal field coils and the ohmic transformer, shown in figure </w:t>
      </w:r>
      <w:r w:rsidRPr="002754B7">
        <w:rPr>
          <w:color w:val="0070C0"/>
        </w:rPr>
        <w:t>1</w:t>
      </w:r>
      <w:r w:rsidRPr="002754B7">
        <w:rPr>
          <w:color w:val="000000" w:themeColor="text1"/>
        </w:rPr>
        <w:t xml:space="preserve">(a), </w:t>
      </w:r>
      <w:r w:rsidRPr="002754B7">
        <w:rPr>
          <w:color w:val="000000" w:themeColor="text1"/>
        </w:rPr>
        <w:lastRenderedPageBreak/>
        <w:t>and consequently eliminates them. This choice implies an enormous simplification of the shape of the container, which is a cylindrical vacuum vessel, but the configuration requires that two electrodes [3,</w:t>
      </w:r>
      <w:r w:rsidR="00A61AEB" w:rsidRPr="002754B7">
        <w:rPr>
          <w:color w:val="000000" w:themeColor="text1"/>
          <w:lang w:val="en-US"/>
        </w:rPr>
        <w:t>29</w:t>
      </w:r>
      <w:r w:rsidRPr="002754B7">
        <w:rPr>
          <w:color w:val="000000" w:themeColor="text1"/>
        </w:rPr>
        <w:t>] are present inside the vacuum.</w:t>
      </w:r>
      <w:r w:rsidRPr="002754B7">
        <w:rPr>
          <w:color w:val="000000" w:themeColor="text1"/>
          <w:lang w:val="en-US"/>
        </w:rPr>
        <w:t xml:space="preserve"> </w:t>
      </w:r>
      <w:r w:rsidRPr="002754B7">
        <w:rPr>
          <w:rFonts w:eastAsia="SimSun"/>
          <w:color w:val="000000" w:themeColor="text1"/>
        </w:rPr>
        <w:t xml:space="preserve">The plasma centerpost has a variable diameter for a length of about 1 m and opens in the form of a mushroom in front of both annular electrodes, </w:t>
      </w:r>
      <w:r w:rsidRPr="002754B7">
        <w:rPr>
          <w:color w:val="000000" w:themeColor="text1"/>
        </w:rPr>
        <w:t xml:space="preserve">figure </w:t>
      </w:r>
      <w:r w:rsidRPr="002754B7">
        <w:rPr>
          <w:color w:val="0070C0"/>
        </w:rPr>
        <w:t>1</w:t>
      </w:r>
      <w:r w:rsidRPr="002754B7">
        <w:rPr>
          <w:color w:val="000000" w:themeColor="text1"/>
        </w:rPr>
        <w:t>(c)</w:t>
      </w:r>
      <w:r w:rsidRPr="002754B7">
        <w:rPr>
          <w:rFonts w:eastAsia="SimSun"/>
          <w:color w:val="000000" w:themeColor="text1"/>
        </w:rPr>
        <w:t>.</w:t>
      </w:r>
      <w:r w:rsidRPr="002754B7">
        <w:rPr>
          <w:color w:val="000000" w:themeColor="text1"/>
        </w:rPr>
        <w:t xml:space="preserve"> The annular form of the electrodes was chosen not only in order to dilute the surface density of the plasma power and of electric current impinging upon them, but also because the "mushroom" shaped plasma in front of both electrodes stabilizes the overall configuration in ideal MHD [</w:t>
      </w:r>
      <w:r w:rsidR="00944E75" w:rsidRPr="002754B7">
        <w:rPr>
          <w:color w:val="000000" w:themeColor="text1"/>
          <w:lang w:val="en-US"/>
        </w:rPr>
        <w:t>30</w:t>
      </w:r>
      <w:r w:rsidRPr="002754B7">
        <w:rPr>
          <w:color w:val="000000" w:themeColor="text1"/>
        </w:rPr>
        <w:t>].</w:t>
      </w:r>
    </w:p>
    <w:p w14:paraId="67E85ED7" w14:textId="77777777" w:rsidR="000C28C4" w:rsidRPr="00146FE7" w:rsidRDefault="000C28C4" w:rsidP="00146FE7">
      <w:pPr>
        <w:adjustRightInd w:val="0"/>
        <w:spacing w:line="360" w:lineRule="auto"/>
        <w:ind w:right="-7" w:firstLine="284"/>
        <w:jc w:val="both"/>
        <w:rPr>
          <w:color w:val="000000" w:themeColor="text1"/>
        </w:rPr>
      </w:pPr>
      <w:r w:rsidRPr="00146FE7">
        <w:rPr>
          <w:color w:val="000000" w:themeColor="text1"/>
        </w:rPr>
        <w:t xml:space="preserve">The anode was built as a hollow gas-puffed annular anode, composed of 30 Copper modules, protected on its plasma facing side by tiles of Copper-Tungsten alloy, the gray elements of figure </w:t>
      </w:r>
      <w:r w:rsidRPr="00146FE7">
        <w:rPr>
          <w:color w:val="0070C0"/>
        </w:rPr>
        <w:t>1</w:t>
      </w:r>
      <w:r w:rsidRPr="00146FE7">
        <w:rPr>
          <w:color w:val="000000" w:themeColor="text1"/>
        </w:rPr>
        <w:t xml:space="preserve">(d). Each module has 20 holes each in front of the plasma and neutral gas is diffused from its rear toward the plasma:  the plasma is, on its turn, able to diffuse inside the front holes toward the neutral gas. The cathode, which is not fed by neutral gas, is a hot annular cathode, divided in 6 sectors, with a total of 54 Tungsten filaments, shown in figure </w:t>
      </w:r>
      <w:r w:rsidRPr="00146FE7">
        <w:rPr>
          <w:color w:val="0070C0"/>
        </w:rPr>
        <w:t>1</w:t>
      </w:r>
      <w:r w:rsidRPr="00146FE7">
        <w:rPr>
          <w:color w:val="000000" w:themeColor="text1"/>
        </w:rPr>
        <w:t>(d), heated to about 2900 ºK; the six-phased AC heating of the filaments is switched off just before a DC voltage is applied between the electrodes in order to obtain the plasma break-down.</w:t>
      </w:r>
    </w:p>
    <w:p w14:paraId="588B5F48" w14:textId="77777777" w:rsidR="000C28C4" w:rsidRPr="00146FE7" w:rsidRDefault="000C28C4" w:rsidP="00D121F4">
      <w:pPr>
        <w:adjustRightInd w:val="0"/>
        <w:spacing w:line="360" w:lineRule="auto"/>
        <w:ind w:right="-7" w:firstLine="576"/>
        <w:jc w:val="both"/>
        <w:rPr>
          <w:color w:val="000000" w:themeColor="text1"/>
        </w:rPr>
      </w:pPr>
    </w:p>
    <w:p w14:paraId="75D32CB0" w14:textId="77777777" w:rsidR="000C28C4" w:rsidRPr="00146FE7" w:rsidRDefault="000C28C4" w:rsidP="00D121F4">
      <w:pPr>
        <w:pStyle w:val="Heading2"/>
        <w:spacing w:line="360" w:lineRule="auto"/>
        <w:jc w:val="both"/>
        <w:rPr>
          <w:rFonts w:ascii="Times New Roman" w:hAnsi="Times New Roman" w:cs="Times New Roman"/>
          <w:b w:val="0"/>
          <w:i/>
          <w:color w:val="000000" w:themeColor="text1"/>
          <w:sz w:val="24"/>
          <w:szCs w:val="24"/>
        </w:rPr>
      </w:pPr>
      <w:r w:rsidRPr="00146FE7">
        <w:rPr>
          <w:rFonts w:ascii="Times New Roman" w:hAnsi="Times New Roman" w:cs="Times New Roman"/>
          <w:b w:val="0"/>
          <w:i/>
          <w:color w:val="000000" w:themeColor="text1"/>
          <w:sz w:val="24"/>
          <w:szCs w:val="24"/>
        </w:rPr>
        <w:t>The PROTO-SPHERA load-assembly</w:t>
      </w:r>
    </w:p>
    <w:p w14:paraId="41664C7B" w14:textId="77777777" w:rsidR="000C28C4" w:rsidRPr="00F2105F" w:rsidRDefault="000C28C4" w:rsidP="00D121F4">
      <w:pPr>
        <w:jc w:val="both"/>
      </w:pPr>
    </w:p>
    <w:p w14:paraId="0C90DDEF" w14:textId="686E0615" w:rsidR="000C28C4" w:rsidRPr="006C089C" w:rsidRDefault="000C28C4" w:rsidP="00D121F4">
      <w:pPr>
        <w:adjustRightInd w:val="0"/>
        <w:spacing w:line="360" w:lineRule="auto"/>
        <w:jc w:val="both"/>
        <w:rPr>
          <w:noProof/>
        </w:rPr>
      </w:pPr>
      <w:r w:rsidRPr="006C089C">
        <w:rPr>
          <w:noProof/>
          <w:lang w:val="en-US"/>
        </w:rPr>
        <w:t xml:space="preserve">The first PROTO-SPHERA vacuum vessel was the </w:t>
      </w:r>
      <w:r w:rsidRPr="006C089C">
        <w:rPr>
          <w:noProof/>
        </w:rPr>
        <w:t xml:space="preserve">former START </w:t>
      </w:r>
      <w:r w:rsidRPr="006C089C">
        <w:rPr>
          <w:noProof/>
          <w:lang w:val="en-US"/>
        </w:rPr>
        <w:t xml:space="preserve">Tokamak </w:t>
      </w:r>
      <w:r w:rsidRPr="006C089C">
        <w:rPr>
          <w:noProof/>
        </w:rPr>
        <w:t>[</w:t>
      </w:r>
      <w:r w:rsidR="00944E75" w:rsidRPr="006C089C">
        <w:rPr>
          <w:noProof/>
          <w:lang w:val="en-US"/>
        </w:rPr>
        <w:t>31</w:t>
      </w:r>
      <w:r w:rsidRPr="006C089C">
        <w:rPr>
          <w:noProof/>
        </w:rPr>
        <w:t>]</w:t>
      </w:r>
      <w:r w:rsidRPr="006C089C">
        <w:rPr>
          <w:noProof/>
          <w:lang w:val="en-US"/>
        </w:rPr>
        <w:t xml:space="preserve"> v</w:t>
      </w:r>
      <w:r w:rsidRPr="006C089C">
        <w:rPr>
          <w:noProof/>
        </w:rPr>
        <w:t>acuum vessel (made of Aluminium, 2 m internal diameter, 4 cm thick, a gift of Culham UKAEA Research Center in 2004)</w:t>
      </w:r>
      <w:r w:rsidRPr="006C089C">
        <w:rPr>
          <w:noProof/>
          <w:lang w:val="en-US"/>
        </w:rPr>
        <w:t>. For using it on PROTO-SPHERA</w:t>
      </w:r>
      <w:r w:rsidRPr="006C089C">
        <w:rPr>
          <w:noProof/>
        </w:rPr>
        <w:t xml:space="preserve"> </w:t>
      </w:r>
      <w:r w:rsidRPr="006C089C">
        <w:rPr>
          <w:noProof/>
          <w:lang w:val="en-US"/>
        </w:rPr>
        <w:t xml:space="preserve">the original START vessel </w:t>
      </w:r>
      <w:r w:rsidRPr="006C089C">
        <w:rPr>
          <w:noProof/>
        </w:rPr>
        <w:t xml:space="preserve">was supplemented by two AISI304 ferrules, reaching a total eighth of 2.5 m. </w:t>
      </w:r>
      <w:r w:rsidR="00BB4CF4" w:rsidRPr="006C089C">
        <w:rPr>
          <w:noProof/>
          <w:lang w:val="en-US"/>
        </w:rPr>
        <w:t>Following the requirements illustrated in the previous paper [3], derived from the choices of compression, shaping and elongation</w:t>
      </w:r>
      <w:r w:rsidR="00BF4BD0" w:rsidRPr="006C089C">
        <w:rPr>
          <w:noProof/>
          <w:lang w:val="en-US"/>
        </w:rPr>
        <w:t xml:space="preserve"> of the magnetic configuration, in the initial load-assembly </w:t>
      </w:r>
      <w:r w:rsidR="00EA579A" w:rsidRPr="006C089C">
        <w:rPr>
          <w:noProof/>
          <w:lang w:val="en-US"/>
        </w:rPr>
        <w:t xml:space="preserve">(built from 2006 to 2009) </w:t>
      </w:r>
      <w:r w:rsidR="00BF4BD0" w:rsidRPr="006C089C">
        <w:rPr>
          <w:noProof/>
        </w:rPr>
        <w:t>there were eight poloidal magnetic field coils</w:t>
      </w:r>
      <w:r w:rsidR="00BF4BD0" w:rsidRPr="006C089C">
        <w:rPr>
          <w:noProof/>
          <w:lang w:val="en-US"/>
        </w:rPr>
        <w:t xml:space="preserve"> i</w:t>
      </w:r>
      <w:r w:rsidRPr="006C089C">
        <w:rPr>
          <w:noProof/>
        </w:rPr>
        <w:t xml:space="preserve">nside the vacuum chamber: the PFInt-B shaping group coils, shown in figure </w:t>
      </w:r>
      <w:r w:rsidRPr="006C089C">
        <w:rPr>
          <w:color w:val="0070C0"/>
        </w:rPr>
        <w:t>2</w:t>
      </w:r>
      <w:r w:rsidRPr="006C089C">
        <w:rPr>
          <w:color w:val="000000" w:themeColor="text1"/>
        </w:rPr>
        <w:t>(a</w:t>
      </w:r>
      <w:r w:rsidRPr="006C089C">
        <w:rPr>
          <w:noProof/>
        </w:rPr>
        <w:t xml:space="preserve">), </w:t>
      </w:r>
      <w:r w:rsidR="00EA579A" w:rsidRPr="006C089C">
        <w:rPr>
          <w:noProof/>
          <w:lang w:val="en-US"/>
        </w:rPr>
        <w:t>were</w:t>
      </w:r>
      <w:r w:rsidRPr="006C089C">
        <w:rPr>
          <w:noProof/>
        </w:rPr>
        <w:t xml:space="preserve"> industrially built, are armored by 5 to 10 mm thick AISI304 casings, but all fed in series by a single power supply.</w:t>
      </w:r>
    </w:p>
    <w:p w14:paraId="2C9EC5BC" w14:textId="4CC0CFE5" w:rsidR="000C28C4" w:rsidRPr="006C089C" w:rsidRDefault="000C28C4" w:rsidP="00D121F4">
      <w:pPr>
        <w:adjustRightInd w:val="0"/>
        <w:spacing w:line="360" w:lineRule="auto"/>
        <w:ind w:firstLine="284"/>
        <w:jc w:val="both"/>
      </w:pPr>
      <w:r w:rsidRPr="006C089C">
        <w:rPr>
          <w:noProof/>
        </w:rPr>
        <w:t xml:space="preserve">The casing of the coils are electrically floating; in particular the PF2 and PF3.1 shaping coils are connected together, as well as the PF4.1 and PF4.2 shaping coils. The PFInt-B group coils are capable of shaping the centerpost plasma, while distiguishing the plasma discharge in three sections: on top the anodic plasma, in the middle the main equatorial plasma (located within a 0.87 m vertical space between the two PF2 poloidal field mirror coils) and on the bottom the cathodic plasma. The centerpost discharge passes through the holes inside both of the two PF2 mirror coils, which are </w:t>
      </w:r>
      <w:r w:rsidRPr="006C089C">
        <w:rPr>
          <w:noProof/>
        </w:rPr>
        <w:lastRenderedPageBreak/>
        <w:t xml:space="preserve">internally protected by additional Copper-Tungsten cylindrical shells. The poloidal magnetic field reaches in the holes of the PF2 mirror coils </w:t>
      </w:r>
      <w:r w:rsidR="0078530F">
        <w:rPr>
          <w:noProof/>
        </w:rPr>
        <w:t>its maximal value: about 0.5 T.</w:t>
      </w:r>
    </w:p>
    <w:p w14:paraId="621481B4" w14:textId="77777777" w:rsidR="000C28C4" w:rsidRPr="006C089C" w:rsidRDefault="000C28C4" w:rsidP="00D121F4">
      <w:pPr>
        <w:adjustRightInd w:val="0"/>
        <w:spacing w:line="360" w:lineRule="auto"/>
        <w:ind w:firstLine="284"/>
        <w:jc w:val="both"/>
      </w:pPr>
    </w:p>
    <w:p w14:paraId="47C0D060" w14:textId="77777777" w:rsidR="000C28C4" w:rsidRPr="00F2105F" w:rsidRDefault="000C28C4" w:rsidP="00D121F4">
      <w:pPr>
        <w:jc w:val="both"/>
        <w:rPr>
          <w:rFonts w:ascii="NimbusRomNo9L" w:hAnsi="NimbusRomNo9L"/>
          <w:noProof/>
        </w:rPr>
      </w:pPr>
      <w:r w:rsidRPr="00F2105F">
        <w:rPr>
          <w:rFonts w:ascii="NimbusRomNo9L" w:hAnsi="NimbusRomNo9L"/>
          <w:noProof/>
          <w:lang w:eastAsia="en-GB"/>
        </w:rPr>
        <w:drawing>
          <wp:inline distT="0" distB="0" distL="0" distR="0" wp14:anchorId="4F74C10F" wp14:editId="4D1F335E">
            <wp:extent cx="6065240" cy="5115541"/>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37518" cy="5176501"/>
                    </a:xfrm>
                    <a:prstGeom prst="rect">
                      <a:avLst/>
                    </a:prstGeom>
                  </pic:spPr>
                </pic:pic>
              </a:graphicData>
            </a:graphic>
          </wp:inline>
        </w:drawing>
      </w:r>
    </w:p>
    <w:p w14:paraId="4B06C1A0" w14:textId="77777777" w:rsidR="000C28C4" w:rsidRPr="00F2105F" w:rsidRDefault="000C28C4" w:rsidP="00D121F4">
      <w:pPr>
        <w:jc w:val="both"/>
        <w:rPr>
          <w:rFonts w:ascii="Times" w:hAnsi="Times"/>
          <w:b/>
          <w:bCs/>
          <w:noProof/>
          <w:sz w:val="20"/>
          <w:szCs w:val="20"/>
        </w:rPr>
      </w:pPr>
    </w:p>
    <w:p w14:paraId="5D3EED4B" w14:textId="77777777" w:rsidR="000C28C4" w:rsidRPr="006C089C" w:rsidRDefault="000C28C4" w:rsidP="00D121F4">
      <w:pPr>
        <w:jc w:val="both"/>
        <w:rPr>
          <w:sz w:val="20"/>
          <w:szCs w:val="20"/>
        </w:rPr>
      </w:pPr>
      <w:r w:rsidRPr="006C089C">
        <w:rPr>
          <w:b/>
          <w:bCs/>
          <w:noProof/>
          <w:sz w:val="20"/>
          <w:szCs w:val="20"/>
        </w:rPr>
        <w:t xml:space="preserve">Figure 2. </w:t>
      </w:r>
      <w:r w:rsidRPr="006C089C">
        <w:rPr>
          <w:noProof/>
          <w:sz w:val="20"/>
          <w:szCs w:val="20"/>
        </w:rPr>
        <w:t xml:space="preserve"> (a)  Scheme of plasma centerpost (pink) and of PFInt-B internal armored coils, the main plasma is limited by the two PF2 mirror coils; </w:t>
      </w:r>
      <w:r w:rsidRPr="006C089C">
        <w:rPr>
          <w:sz w:val="20"/>
          <w:szCs w:val="20"/>
        </w:rPr>
        <w:t xml:space="preserve">two </w:t>
      </w:r>
      <w:r w:rsidRPr="006C089C">
        <w:rPr>
          <w:noProof/>
          <w:sz w:val="20"/>
          <w:szCs w:val="20"/>
          <w:lang w:val="en-US"/>
        </w:rPr>
        <w:t>polycarbonate insulating spacer ring</w:t>
      </w:r>
      <w:r w:rsidRPr="006C089C">
        <w:rPr>
          <w:sz w:val="20"/>
          <w:szCs w:val="20"/>
        </w:rPr>
        <w:t xml:space="preserve"> (shown in blue) separate the Aluminum vessel from the two ferrules on top (shown) and bottom (not shown)</w:t>
      </w:r>
      <w:r w:rsidRPr="006C089C">
        <w:rPr>
          <w:noProof/>
          <w:color w:val="000000" w:themeColor="text1"/>
          <w:sz w:val="20"/>
          <w:szCs w:val="20"/>
          <w:lang w:val="en-US"/>
        </w:rPr>
        <w:t>;</w:t>
      </w:r>
      <w:r w:rsidRPr="006C089C">
        <w:rPr>
          <w:noProof/>
          <w:sz w:val="20"/>
          <w:szCs w:val="20"/>
        </w:rPr>
        <w:t xml:space="preserve"> the mechanical structures of the cylindrical vessel and of both electrodes are removed from the scheme.  (b)  The 4 PExt coils (green-blue) wound around the vacuum vessel and, </w:t>
      </w:r>
      <w:r w:rsidRPr="006C089C">
        <w:rPr>
          <w:kern w:val="24"/>
          <w:sz w:val="20"/>
          <w:szCs w:val="20"/>
        </w:rPr>
        <w:t xml:space="preserve">at the center of top and bottom lids, </w:t>
      </w:r>
      <w:r w:rsidRPr="006C089C">
        <w:rPr>
          <w:noProof/>
          <w:sz w:val="20"/>
          <w:szCs w:val="20"/>
        </w:rPr>
        <w:t xml:space="preserve">the copper busbars </w:t>
      </w:r>
      <w:r w:rsidRPr="006C089C">
        <w:rPr>
          <w:kern w:val="24"/>
          <w:sz w:val="20"/>
          <w:szCs w:val="20"/>
        </w:rPr>
        <w:t>that introduce inside the vessel the current that the electrodes convert into the plasma centerpost current</w:t>
      </w:r>
      <w:r w:rsidRPr="006C089C">
        <w:rPr>
          <w:noProof/>
          <w:sz w:val="20"/>
          <w:szCs w:val="20"/>
        </w:rPr>
        <w:t xml:space="preserve">. (c) </w:t>
      </w:r>
      <w:r w:rsidRPr="006C089C">
        <w:rPr>
          <w:sz w:val="20"/>
          <w:szCs w:val="20"/>
        </w:rPr>
        <w:t xml:space="preserve">The copper bars, shown in red outside the vacuum vessel, which return the Plasma-Centerpost current from a lower collecting ring to an upper outer coaxial ring; the coaxial cable that feeds the </w:t>
      </w:r>
      <w:r w:rsidRPr="006C089C">
        <w:rPr>
          <w:noProof/>
          <w:sz w:val="20"/>
          <w:szCs w:val="20"/>
        </w:rPr>
        <w:t xml:space="preserve">PFInt-B </w:t>
      </w:r>
      <w:r w:rsidRPr="006C089C">
        <w:rPr>
          <w:sz w:val="20"/>
          <w:szCs w:val="20"/>
        </w:rPr>
        <w:t>coils is shown in blue.</w:t>
      </w:r>
    </w:p>
    <w:p w14:paraId="52222BBD" w14:textId="77777777" w:rsidR="000C28C4" w:rsidRPr="006C089C" w:rsidRDefault="000C28C4" w:rsidP="00D121F4">
      <w:pPr>
        <w:adjustRightInd w:val="0"/>
        <w:spacing w:line="360" w:lineRule="auto"/>
        <w:ind w:firstLine="284"/>
        <w:jc w:val="both"/>
      </w:pPr>
    </w:p>
    <w:p w14:paraId="218D566C" w14:textId="77777777" w:rsidR="00FF1943" w:rsidRPr="00FD5140" w:rsidRDefault="000C28C4" w:rsidP="00FF1943">
      <w:pPr>
        <w:adjustRightInd w:val="0"/>
        <w:spacing w:line="360" w:lineRule="auto"/>
        <w:ind w:firstLine="284"/>
        <w:jc w:val="both"/>
        <w:rPr>
          <w:noProof/>
        </w:rPr>
      </w:pPr>
      <w:r w:rsidRPr="00FD5140">
        <w:t xml:space="preserve">All the </w:t>
      </w:r>
      <w:r w:rsidRPr="00FD5140">
        <w:rPr>
          <w:noProof/>
        </w:rPr>
        <w:t>eight</w:t>
      </w:r>
      <w:r w:rsidRPr="00FD5140">
        <w:t xml:space="preserve"> Group-B-PFInt coils, whose names are indicated in figure </w:t>
      </w:r>
      <w:r w:rsidRPr="00FD5140">
        <w:rPr>
          <w:color w:val="4F81BD" w:themeColor="accent1"/>
        </w:rPr>
        <w:t>2</w:t>
      </w:r>
      <w:r w:rsidRPr="00FD5140">
        <w:t xml:space="preserve">(a) and </w:t>
      </w:r>
      <w:r w:rsidRPr="00FD5140">
        <w:rPr>
          <w:color w:val="4F81BD" w:themeColor="accent1"/>
        </w:rPr>
        <w:t>2</w:t>
      </w:r>
      <w:r w:rsidRPr="00FD5140">
        <w:t xml:space="preserve">(c), being contained inside the vacuum vessel, are near the plasma and their </w:t>
      </w:r>
      <w:r w:rsidRPr="00FD5140">
        <w:rPr>
          <w:noProof/>
        </w:rPr>
        <w:t>AISI304 casings</w:t>
      </w:r>
      <w:r w:rsidRPr="00FD5140">
        <w:t xml:space="preserve"> reach during the plasma discharge different floating electric electrostatic potentials, roughly proportional for each individual coil to the plasma current </w:t>
      </w:r>
      <w:r w:rsidRPr="00FD5140">
        <w:rPr>
          <w:noProof/>
          <w:lang w:val="en-US"/>
        </w:rPr>
        <w:t>I</w:t>
      </w:r>
      <w:r w:rsidR="00852549" w:rsidRPr="00FD5140">
        <w:rPr>
          <w:noProof/>
          <w:vertAlign w:val="subscript"/>
          <w:lang w:val="en-US"/>
        </w:rPr>
        <w:t>CP</w:t>
      </w:r>
      <w:r w:rsidRPr="00FD5140">
        <w:t xml:space="preserve"> flowing in the centerpost.</w:t>
      </w:r>
      <w:r w:rsidR="00FF1943" w:rsidRPr="00FD5140">
        <w:rPr>
          <w:lang w:val="en-US"/>
        </w:rPr>
        <w:t xml:space="preserve"> Later (2017), in order to attempt the formation of the first confined tori, f</w:t>
      </w:r>
      <w:r w:rsidR="00FF1943" w:rsidRPr="00FD5140">
        <w:t xml:space="preserve">our magnetic vertical field coils, the PFExt coils shown in </w:t>
      </w:r>
      <w:r w:rsidR="00FF1943" w:rsidRPr="00FD5140">
        <w:lastRenderedPageBreak/>
        <w:t xml:space="preserve">figure </w:t>
      </w:r>
      <w:r w:rsidR="00FF1943" w:rsidRPr="00FD5140">
        <w:rPr>
          <w:color w:val="4F81BD" w:themeColor="accent1"/>
        </w:rPr>
        <w:t>2</w:t>
      </w:r>
      <w:r w:rsidR="00FF1943" w:rsidRPr="00FD5140">
        <w:t xml:space="preserve">(b), wound around the vacuum chamber, were added and fed in series with the </w:t>
      </w:r>
      <w:r w:rsidR="00FF1943" w:rsidRPr="00FD5140">
        <w:rPr>
          <w:noProof/>
        </w:rPr>
        <w:t xml:space="preserve">PFInt-B </w:t>
      </w:r>
      <w:r w:rsidR="00FF1943" w:rsidRPr="00FD5140">
        <w:t>internal coil.</w:t>
      </w:r>
    </w:p>
    <w:p w14:paraId="4702747B" w14:textId="77777777" w:rsidR="00FF1943" w:rsidRPr="00FD5140" w:rsidRDefault="000C28C4" w:rsidP="00FF1943">
      <w:pPr>
        <w:adjustRightInd w:val="0"/>
        <w:spacing w:line="360" w:lineRule="auto"/>
        <w:ind w:firstLine="284"/>
        <w:jc w:val="both"/>
      </w:pPr>
      <w:r w:rsidRPr="00FD5140">
        <w:t xml:space="preserve">With the exception of the six-phased AC Cathode heating power supply, all the conductors that carry the currents from the power supplies to the PF coils and to the machine are coaxial cables; in particular </w:t>
      </w:r>
      <w:r w:rsidR="00852549" w:rsidRPr="00FD5140">
        <w:rPr>
          <w:lang w:val="en-US"/>
        </w:rPr>
        <w:t xml:space="preserve">the </w:t>
      </w:r>
      <w:r w:rsidR="00852549" w:rsidRPr="00FD5140">
        <w:t xml:space="preserve">power supply </w:t>
      </w:r>
      <w:r w:rsidR="00852549" w:rsidRPr="00FD5140">
        <w:rPr>
          <w:lang w:val="en-US"/>
        </w:rPr>
        <w:t xml:space="preserve">of </w:t>
      </w:r>
      <w:r w:rsidRPr="00FD5140">
        <w:t xml:space="preserve">the Plasma Centerpost is </w:t>
      </w:r>
      <w:r w:rsidR="00852549" w:rsidRPr="00FD5140">
        <w:rPr>
          <w:lang w:val="en-US"/>
        </w:rPr>
        <w:t>applied</w:t>
      </w:r>
      <w:r w:rsidRPr="00FD5140">
        <w:t xml:space="preserve"> </w:t>
      </w:r>
      <w:r w:rsidR="00852549" w:rsidRPr="00FD5140">
        <w:rPr>
          <w:lang w:val="en-US"/>
        </w:rPr>
        <w:t xml:space="preserve">to the anode </w:t>
      </w:r>
      <w:r w:rsidRPr="00FD5140">
        <w:t xml:space="preserve">through two coaxial metal rings on top of the machine, in order to minimize any error field. </w:t>
      </w:r>
      <w:r w:rsidR="00FF1943" w:rsidRPr="00FD5140">
        <w:rPr>
          <w:lang w:val="en-US"/>
        </w:rPr>
        <w:t>C</w:t>
      </w:r>
      <w:r w:rsidR="00FF1943" w:rsidRPr="00FD5140">
        <w:t xml:space="preserve">opper bars outside the vacuum vessel return the Plasma-Centerpost current </w:t>
      </w:r>
      <w:r w:rsidR="00FF1943" w:rsidRPr="00FD5140">
        <w:rPr>
          <w:color w:val="000000" w:themeColor="text1"/>
        </w:rPr>
        <w:t>I</w:t>
      </w:r>
      <w:r w:rsidR="00FF1943" w:rsidRPr="00FD5140">
        <w:rPr>
          <w:color w:val="000000" w:themeColor="text1"/>
          <w:vertAlign w:val="subscript"/>
        </w:rPr>
        <w:t>CP</w:t>
      </w:r>
      <w:r w:rsidR="00FF1943" w:rsidRPr="00FD5140">
        <w:t xml:space="preserve"> from a lower copper collecting ring to a similar upper copper ring: the copper bars are the only components reminiscent of the outer part of a toroidal magnet in a Tokamak and are shown in Fig. </w:t>
      </w:r>
      <w:r w:rsidR="00FF1943" w:rsidRPr="00FD5140">
        <w:rPr>
          <w:color w:val="4F81BD" w:themeColor="accent1"/>
        </w:rPr>
        <w:t>2</w:t>
      </w:r>
      <w:r w:rsidR="00FF1943" w:rsidRPr="00FD5140">
        <w:t>(c).</w:t>
      </w:r>
    </w:p>
    <w:p w14:paraId="11413046" w14:textId="443B7CDB" w:rsidR="000C28C4" w:rsidRPr="00FD5140" w:rsidRDefault="000C28C4" w:rsidP="00D121F4">
      <w:pPr>
        <w:adjustRightInd w:val="0"/>
        <w:spacing w:line="360" w:lineRule="auto"/>
        <w:ind w:firstLine="284"/>
        <w:jc w:val="both"/>
      </w:pPr>
      <w:r w:rsidRPr="00FD5140">
        <w:t xml:space="preserve">The power supplies of the experiment are briefly described in </w:t>
      </w:r>
      <w:r w:rsidRPr="00FD5140">
        <w:rPr>
          <w:color w:val="4F81BD" w:themeColor="accent1"/>
        </w:rPr>
        <w:t>Appendix A</w:t>
      </w:r>
      <w:r w:rsidRPr="00FD5140">
        <w:t>.</w:t>
      </w:r>
    </w:p>
    <w:p w14:paraId="0CE59F43" w14:textId="77777777" w:rsidR="000C28C4" w:rsidRPr="00FD5140" w:rsidRDefault="000C28C4" w:rsidP="00D121F4">
      <w:pPr>
        <w:jc w:val="both"/>
        <w:rPr>
          <w:noProof/>
        </w:rPr>
      </w:pPr>
    </w:p>
    <w:p w14:paraId="601B78CC" w14:textId="77777777" w:rsidR="000C28C4" w:rsidRPr="00FD5140" w:rsidRDefault="000C28C4" w:rsidP="00D121F4">
      <w:pPr>
        <w:pStyle w:val="Heading2"/>
        <w:jc w:val="both"/>
        <w:rPr>
          <w:rFonts w:ascii="Times New Roman" w:hAnsi="Times New Roman" w:cs="Times New Roman"/>
          <w:b w:val="0"/>
          <w:bCs w:val="0"/>
          <w:i/>
          <w:color w:val="000000" w:themeColor="text1"/>
          <w:sz w:val="24"/>
          <w:szCs w:val="24"/>
        </w:rPr>
      </w:pPr>
      <w:r w:rsidRPr="00FD5140">
        <w:rPr>
          <w:rFonts w:ascii="Times New Roman" w:hAnsi="Times New Roman" w:cs="Times New Roman"/>
          <w:b w:val="0"/>
          <w:bCs w:val="0"/>
          <w:i/>
          <w:color w:val="000000" w:themeColor="text1"/>
          <w:sz w:val="24"/>
          <w:szCs w:val="24"/>
        </w:rPr>
        <w:t>The PROTO-SPHERA operation</w:t>
      </w:r>
    </w:p>
    <w:p w14:paraId="18F61170" w14:textId="77777777" w:rsidR="000C28C4" w:rsidRPr="00FD5140" w:rsidRDefault="000C28C4" w:rsidP="00D121F4">
      <w:pPr>
        <w:jc w:val="both"/>
        <w:rPr>
          <w:color w:val="000000" w:themeColor="text1"/>
        </w:rPr>
      </w:pPr>
    </w:p>
    <w:p w14:paraId="3307BBAC" w14:textId="768585FC" w:rsidR="000C28C4" w:rsidRPr="00FD5140" w:rsidRDefault="000C28C4" w:rsidP="00D121F4">
      <w:pPr>
        <w:spacing w:line="360" w:lineRule="auto"/>
        <w:jc w:val="both"/>
        <w:rPr>
          <w:noProof/>
          <w:color w:val="000000" w:themeColor="text1"/>
        </w:rPr>
      </w:pPr>
      <w:r w:rsidRPr="00FD5140">
        <w:rPr>
          <w:noProof/>
          <w:color w:val="000000" w:themeColor="text1"/>
        </w:rPr>
        <w:t xml:space="preserve">PROTO-SPHERA was built and operated in its initial Phase from mid-2014 until the beginning of 2018. Details on its geometry, operative procedure and preliminary results has been already given elsewhere [3, </w:t>
      </w:r>
      <w:r w:rsidR="00944E75" w:rsidRPr="00FD5140">
        <w:rPr>
          <w:noProof/>
          <w:color w:val="000000" w:themeColor="text1"/>
          <w:lang w:val="en-US"/>
        </w:rPr>
        <w:t>32</w:t>
      </w:r>
      <w:r w:rsidRPr="00FD5140">
        <w:rPr>
          <w:noProof/>
          <w:color w:val="000000" w:themeColor="text1"/>
        </w:rPr>
        <w:t>].</w:t>
      </w:r>
      <w:r w:rsidRPr="00FD5140">
        <w:rPr>
          <w:b/>
          <w:noProof/>
          <w:color w:val="000000" w:themeColor="text1"/>
        </w:rPr>
        <w:t xml:space="preserve"> </w:t>
      </w:r>
      <w:r w:rsidRPr="00FD5140">
        <w:rPr>
          <w:noProof/>
          <w:color w:val="000000" w:themeColor="text1"/>
        </w:rPr>
        <w:t xml:space="preserve">The discharge sequence of the experiment is the following: first of all the 6-phased AC currents heating the cathode filaments are rised up with a ramp lasting about 30 s, such that the required 2900 ºK are reached at the end of the current ramp. Within the last 10 seconds of the cathode heating the vacuum vessel is filled by the operating neutral gas, through the holes of the anode, at a pressure ranging from </w:t>
      </w:r>
      <w:r w:rsidRPr="00FD5140">
        <w:rPr>
          <w:color w:val="000000" w:themeColor="text1"/>
        </w:rPr>
        <w:t>5•10</w:t>
      </w:r>
      <w:r w:rsidRPr="00FD5140">
        <w:rPr>
          <w:color w:val="000000" w:themeColor="text1"/>
          <w:vertAlign w:val="superscript"/>
        </w:rPr>
        <w:t>-3</w:t>
      </w:r>
      <w:r w:rsidRPr="00FD5140">
        <w:rPr>
          <w:color w:val="000000" w:themeColor="text1"/>
        </w:rPr>
        <w:t xml:space="preserve"> to 5•10</w:t>
      </w:r>
      <w:r w:rsidRPr="00FD5140">
        <w:rPr>
          <w:color w:val="000000" w:themeColor="text1"/>
          <w:vertAlign w:val="superscript"/>
        </w:rPr>
        <w:t>-2</w:t>
      </w:r>
      <w:r w:rsidRPr="00FD5140">
        <w:rPr>
          <w:color w:val="000000" w:themeColor="text1"/>
        </w:rPr>
        <w:t xml:space="preserve"> mbar, and the filling continues until the end of the plasma discharge. </w:t>
      </w:r>
      <w:r w:rsidRPr="00FD5140">
        <w:rPr>
          <w:noProof/>
          <w:color w:val="000000" w:themeColor="text1"/>
        </w:rPr>
        <w:t xml:space="preserve">During the last 50 ms of the cathode heating the poloidal field coils internal to the vacuum vessel (PFint-B) are energized, and in case also the ones external to the vessel (PFext). Finally by switching on the power supply of the plasma centerpost a DC voltage appears between anode and cathode and the plasma centerpost is created, at least 50 ms after the cathode filaments heating currents have been switched off. </w:t>
      </w:r>
      <w:r w:rsidRPr="00FD5140">
        <w:rPr>
          <w:color w:val="000000" w:themeColor="text1"/>
        </w:rPr>
        <w:t xml:space="preserve">The top part of the vessel (an AISI304 ferrule-and-lid) and its bottom symmetrical ferrule-and-lid are insulated, interposing spacer rings, from the grounded Aluminum middle vessel and left floating, see figure </w:t>
      </w:r>
      <w:r w:rsidRPr="00FD5140">
        <w:rPr>
          <w:color w:val="0070C0"/>
        </w:rPr>
        <w:t>2</w:t>
      </w:r>
      <w:r w:rsidRPr="00FD5140">
        <w:rPr>
          <w:color w:val="000000" w:themeColor="text1"/>
        </w:rPr>
        <w:t>(a).</w:t>
      </w:r>
      <w:r w:rsidRPr="00FD5140">
        <w:rPr>
          <w:noProof/>
          <w:color w:val="000000" w:themeColor="text1"/>
        </w:rPr>
        <w:t xml:space="preserve"> A number of magnetic sensors internal to the vacuum vessel measure the poloidal magnetic field generated by the plasma centerpost as well as its current I</w:t>
      </w:r>
      <w:r w:rsidRPr="00FD5140">
        <w:rPr>
          <w:noProof/>
          <w:color w:val="000000" w:themeColor="text1"/>
          <w:vertAlign w:val="subscript"/>
        </w:rPr>
        <w:t>CP</w:t>
      </w:r>
      <w:r w:rsidRPr="00FD5140">
        <w:rPr>
          <w:noProof/>
          <w:color w:val="000000" w:themeColor="text1"/>
        </w:rPr>
        <w:t>, in different locations along  it.</w:t>
      </w:r>
    </w:p>
    <w:p w14:paraId="4AB781FC" w14:textId="77777777" w:rsidR="000C28C4" w:rsidRDefault="000C28C4" w:rsidP="00D121F4">
      <w:pPr>
        <w:spacing w:line="360" w:lineRule="auto"/>
        <w:ind w:firstLine="284"/>
        <w:jc w:val="both"/>
        <w:rPr>
          <w:color w:val="000000" w:themeColor="text1"/>
          <w:kern w:val="24"/>
        </w:rPr>
      </w:pPr>
      <w:r w:rsidRPr="00FD5140">
        <w:rPr>
          <w:color w:val="000000" w:themeColor="text1"/>
          <w:kern w:val="24"/>
        </w:rPr>
        <w:t>A preliminary campaign of experiments on PROTO-SPHERA was run from the summer of 2014 up to February 2015, devoted to assess the plasma break-down. In this phase the plasma central discharge was obtained in presence of the final annular cathode on the bottom of the machine, but with a simpler provisional cylindrical anode on top of it.</w:t>
      </w:r>
    </w:p>
    <w:p w14:paraId="1F51F411" w14:textId="77777777" w:rsidR="00E14A32" w:rsidRPr="00FD5140" w:rsidRDefault="00E14A32" w:rsidP="00D121F4">
      <w:pPr>
        <w:spacing w:line="360" w:lineRule="auto"/>
        <w:ind w:firstLine="284"/>
        <w:jc w:val="both"/>
        <w:rPr>
          <w:color w:val="000000" w:themeColor="text1"/>
          <w:kern w:val="24"/>
        </w:rPr>
      </w:pPr>
    </w:p>
    <w:p w14:paraId="7D028BD7" w14:textId="4AC7B8A9" w:rsidR="000C28C4" w:rsidRPr="00742DEE" w:rsidRDefault="000C28C4" w:rsidP="00742DEE">
      <w:pPr>
        <w:pStyle w:val="Heading1"/>
        <w:rPr>
          <w:color w:val="000000" w:themeColor="text1"/>
          <w:sz w:val="24"/>
          <w:szCs w:val="24"/>
        </w:rPr>
      </w:pPr>
      <w:r w:rsidRPr="00742DEE">
        <w:rPr>
          <w:color w:val="000000" w:themeColor="text1"/>
          <w:sz w:val="24"/>
          <w:szCs w:val="24"/>
        </w:rPr>
        <w:lastRenderedPageBreak/>
        <w:t>Electrostatic and magnetic boundary conditions</w:t>
      </w:r>
    </w:p>
    <w:p w14:paraId="65BBBB80" w14:textId="77777777" w:rsidR="000C28C4" w:rsidRPr="00DA0E08" w:rsidRDefault="000C28C4" w:rsidP="00D121F4">
      <w:pPr>
        <w:adjustRightInd w:val="0"/>
        <w:spacing w:line="360" w:lineRule="auto"/>
        <w:ind w:firstLine="284"/>
        <w:jc w:val="both"/>
        <w:rPr>
          <w:noProof/>
          <w:color w:val="000000" w:themeColor="text1"/>
        </w:rPr>
      </w:pPr>
    </w:p>
    <w:p w14:paraId="6E151C34" w14:textId="77777777" w:rsidR="000C28C4" w:rsidRPr="00DA0E08" w:rsidRDefault="000C28C4" w:rsidP="00D121F4">
      <w:pPr>
        <w:adjustRightInd w:val="0"/>
        <w:spacing w:line="360" w:lineRule="auto"/>
        <w:jc w:val="both"/>
        <w:rPr>
          <w:noProof/>
          <w:color w:val="000000" w:themeColor="text1"/>
          <w:lang w:val="en-US"/>
        </w:rPr>
      </w:pPr>
      <w:r w:rsidRPr="00DA0E08">
        <w:rPr>
          <w:noProof/>
          <w:color w:val="000000" w:themeColor="text1"/>
          <w:lang w:val="en-US"/>
        </w:rPr>
        <w:t>The Phase-1 of the experimental campaign was aimed to obtain a 1 sec lasting centerpost Hydrogen plasma at the full plasma current I</w:t>
      </w:r>
      <w:r w:rsidRPr="00DA0E08">
        <w:rPr>
          <w:noProof/>
          <w:color w:val="000000" w:themeColor="text1"/>
          <w:vertAlign w:val="subscript"/>
          <w:lang w:val="en-US"/>
        </w:rPr>
        <w:t>CP</w:t>
      </w:r>
      <w:r w:rsidRPr="00DA0E08">
        <w:rPr>
          <w:noProof/>
          <w:color w:val="000000" w:themeColor="text1"/>
          <w:lang w:val="en-US"/>
        </w:rPr>
        <w:t xml:space="preserve"> = 10 kA, the maximum deliverable by the plasma centerpost power supply (see Appendix A). When the commissioning of the PROTO-SPHERA experiment started, a number of problems appeared, which prevented the achievement of the operational aim of the machine, in particular at the beginning it was impossible to feed the centerpost plasma with the full current, a stationary centerpost discharge was not immediately achievable and it was even impossible to produce a stable Hydrogen plasma centerpost. It took almost three years of </w:t>
      </w:r>
      <w:r w:rsidRPr="00DA0E08">
        <w:rPr>
          <w:color w:val="000000" w:themeColor="text1"/>
          <w:kern w:val="24"/>
        </w:rPr>
        <w:t>work (from May 2015 to January 2018) to modify and correct</w:t>
      </w:r>
      <w:r w:rsidRPr="00DA0E08">
        <w:rPr>
          <w:noProof/>
          <w:color w:val="000000" w:themeColor="text1"/>
          <w:lang w:val="en-US"/>
        </w:rPr>
        <w:t xml:space="preserve"> the boundary conditions of the experiment, in order to achieve the full aim of the Phase-1 centerpost plasma.</w:t>
      </w:r>
    </w:p>
    <w:p w14:paraId="3AE7D6A6" w14:textId="77777777" w:rsidR="000C28C4" w:rsidRPr="00DA0E08" w:rsidRDefault="000C28C4" w:rsidP="00D121F4">
      <w:pPr>
        <w:adjustRightInd w:val="0"/>
        <w:spacing w:line="360" w:lineRule="auto"/>
        <w:ind w:firstLine="284"/>
        <w:jc w:val="both"/>
        <w:rPr>
          <w:noProof/>
          <w:color w:val="000000" w:themeColor="text1"/>
          <w:lang w:val="en-US"/>
        </w:rPr>
      </w:pPr>
      <w:r w:rsidRPr="00DA0E08">
        <w:rPr>
          <w:noProof/>
          <w:color w:val="000000" w:themeColor="text1"/>
          <w:lang w:val="en-US"/>
        </w:rPr>
        <w:t>The problems and the solutions found during the commissioning of PROTO-SPHERA in Phase-1 will be presented in the following.</w:t>
      </w:r>
    </w:p>
    <w:p w14:paraId="6B227D89" w14:textId="77777777" w:rsidR="000C28C4" w:rsidRPr="00DA0E08" w:rsidRDefault="000C28C4" w:rsidP="00D121F4">
      <w:pPr>
        <w:adjustRightInd w:val="0"/>
        <w:spacing w:line="360" w:lineRule="auto"/>
        <w:ind w:firstLine="284"/>
        <w:jc w:val="both"/>
        <w:rPr>
          <w:noProof/>
          <w:color w:val="000000" w:themeColor="text1"/>
          <w:lang w:val="en-US"/>
        </w:rPr>
      </w:pPr>
    </w:p>
    <w:p w14:paraId="2536EBCE" w14:textId="3613629B" w:rsidR="000C28C4" w:rsidRPr="0027590D" w:rsidRDefault="000C28C4" w:rsidP="0027590D">
      <w:pPr>
        <w:pStyle w:val="Heading2"/>
        <w:rPr>
          <w:b w:val="0"/>
          <w:i/>
          <w:color w:val="000000" w:themeColor="text1"/>
          <w:sz w:val="24"/>
          <w:szCs w:val="24"/>
        </w:rPr>
      </w:pPr>
      <w:r w:rsidRPr="0027590D">
        <w:rPr>
          <w:b w:val="0"/>
          <w:i/>
          <w:color w:val="000000" w:themeColor="text1"/>
          <w:sz w:val="24"/>
          <w:szCs w:val="24"/>
          <w:lang w:val="en-US"/>
        </w:rPr>
        <w:t>I</w:t>
      </w:r>
      <w:r w:rsidRPr="0027590D">
        <w:rPr>
          <w:b w:val="0"/>
          <w:i/>
          <w:color w:val="000000" w:themeColor="text1"/>
          <w:sz w:val="24"/>
          <w:szCs w:val="24"/>
        </w:rPr>
        <w:t>nsulation of anode gas feeding system by Teflon components</w:t>
      </w:r>
    </w:p>
    <w:p w14:paraId="4700FB34" w14:textId="77777777" w:rsidR="000C28C4" w:rsidRPr="00F2105F" w:rsidRDefault="000C28C4" w:rsidP="00D121F4">
      <w:pPr>
        <w:jc w:val="both"/>
      </w:pPr>
    </w:p>
    <w:p w14:paraId="0BB1CAAB" w14:textId="75B5EDA3" w:rsidR="000C28C4" w:rsidRPr="00DA0E08" w:rsidRDefault="000C28C4" w:rsidP="00D121F4">
      <w:pPr>
        <w:spacing w:line="360" w:lineRule="auto"/>
        <w:ind w:firstLine="284"/>
        <w:jc w:val="both"/>
        <w:rPr>
          <w:color w:val="000000" w:themeColor="text1"/>
          <w:kern w:val="24"/>
        </w:rPr>
      </w:pPr>
      <w:r w:rsidRPr="00DA0E08">
        <w:rPr>
          <w:color w:val="000000" w:themeColor="text1"/>
          <w:kern w:val="24"/>
        </w:rPr>
        <w:t xml:space="preserve">Eventually in May 2015 the final annular anode, enclosed within the upper mechanical group, was lowered on top of the Aluminium cylindrical vacuum vessel, see figure </w:t>
      </w:r>
      <w:r w:rsidRPr="00DA0E08">
        <w:rPr>
          <w:color w:val="0070C0"/>
          <w:lang w:val="en-US"/>
        </w:rPr>
        <w:t>3</w:t>
      </w:r>
      <w:r w:rsidRPr="00DA0E08">
        <w:rPr>
          <w:color w:val="000000" w:themeColor="text1"/>
          <w:lang w:val="en-US"/>
        </w:rPr>
        <w:t>(</w:t>
      </w:r>
      <w:r w:rsidRPr="00DA0E08">
        <w:rPr>
          <w:color w:val="000000" w:themeColor="text1"/>
        </w:rPr>
        <w:t>a)</w:t>
      </w:r>
      <w:r w:rsidR="00BE2086">
        <w:rPr>
          <w:color w:val="000000" w:themeColor="text1"/>
          <w:kern w:val="24"/>
        </w:rPr>
        <w:t>.</w:t>
      </w:r>
    </w:p>
    <w:p w14:paraId="3EB8AE41" w14:textId="77777777" w:rsidR="000C28C4" w:rsidRPr="00DA0E08" w:rsidRDefault="000C28C4" w:rsidP="00D121F4">
      <w:pPr>
        <w:spacing w:line="360" w:lineRule="auto"/>
        <w:ind w:firstLine="284"/>
        <w:jc w:val="both"/>
        <w:rPr>
          <w:color w:val="000000" w:themeColor="text1"/>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361F8DB8" w14:textId="77777777" w:rsidTr="009F1708">
        <w:tc>
          <w:tcPr>
            <w:tcW w:w="9854" w:type="dxa"/>
          </w:tcPr>
          <w:p w14:paraId="4E01CCED" w14:textId="77777777" w:rsidR="000C28C4" w:rsidRPr="00F2105F" w:rsidRDefault="000C28C4" w:rsidP="009F1708">
            <w:pPr>
              <w:spacing w:line="360" w:lineRule="auto"/>
              <w:jc w:val="both"/>
              <w:rPr>
                <w:kern w:val="24"/>
              </w:rPr>
            </w:pPr>
            <w:r w:rsidRPr="00F2105F">
              <w:rPr>
                <w:noProof/>
                <w:kern w:val="24"/>
                <w:lang w:eastAsia="en-GB"/>
              </w:rPr>
              <w:drawing>
                <wp:inline distT="0" distB="0" distL="0" distR="0" wp14:anchorId="41026B99" wp14:editId="14E6AD3E">
                  <wp:extent cx="6278400" cy="2545200"/>
                  <wp:effectExtent l="0" t="0" r="8255" b="762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8400" cy="2545200"/>
                          </a:xfrm>
                          <a:prstGeom prst="rect">
                            <a:avLst/>
                          </a:prstGeom>
                          <a:noFill/>
                        </pic:spPr>
                      </pic:pic>
                    </a:graphicData>
                  </a:graphic>
                </wp:inline>
              </w:drawing>
            </w:r>
          </w:p>
        </w:tc>
      </w:tr>
      <w:tr w:rsidR="000C28C4" w:rsidRPr="00DA0E08" w14:paraId="2390D2E5" w14:textId="77777777" w:rsidTr="009F1708">
        <w:tc>
          <w:tcPr>
            <w:tcW w:w="9854" w:type="dxa"/>
          </w:tcPr>
          <w:p w14:paraId="738C9BB7" w14:textId="77777777" w:rsidR="000C28C4" w:rsidRPr="00DA0E08" w:rsidRDefault="000C28C4" w:rsidP="009F1708">
            <w:pPr>
              <w:spacing w:line="360" w:lineRule="auto"/>
              <w:jc w:val="both"/>
              <w:rPr>
                <w:b/>
                <w:bCs/>
                <w:kern w:val="24"/>
                <w:sz w:val="20"/>
                <w:szCs w:val="20"/>
              </w:rPr>
            </w:pPr>
          </w:p>
          <w:p w14:paraId="743EAD72" w14:textId="77777777" w:rsidR="000C28C4" w:rsidRPr="00DA0E08" w:rsidRDefault="000C28C4" w:rsidP="009F1708">
            <w:pPr>
              <w:spacing w:line="360" w:lineRule="auto"/>
              <w:jc w:val="both"/>
              <w:rPr>
                <w:kern w:val="24"/>
                <w:sz w:val="20"/>
                <w:szCs w:val="20"/>
                <w:lang w:val="en-US"/>
              </w:rPr>
            </w:pPr>
            <w:r w:rsidRPr="00DA0E08">
              <w:rPr>
                <w:b/>
                <w:bCs/>
                <w:kern w:val="24"/>
                <w:sz w:val="20"/>
                <w:szCs w:val="20"/>
              </w:rPr>
              <w:t>Figure 3.</w:t>
            </w:r>
            <w:r w:rsidRPr="00DA0E08">
              <w:rPr>
                <w:kern w:val="24"/>
                <w:sz w:val="20"/>
                <w:szCs w:val="20"/>
              </w:rPr>
              <w:t xml:space="preserve">  (a) The annular anode being lowered on the Aluminium vacuum vessel (May 2015).  (b) Image of the copper anode, on the rear side of which white Teflon blocks and tubes insulate the gas-puffing system from the upper lid; the metal disc below is the PF3.1 coil and the cylinder the PF2 mirror coil, through whose hole the plasma emerges in the equatorial section of the machine.  (c) The annular cathode, below the machine, being lifted into the vacuum vessel.</w:t>
            </w:r>
          </w:p>
        </w:tc>
      </w:tr>
    </w:tbl>
    <w:p w14:paraId="7EEA6140" w14:textId="77777777" w:rsidR="000C28C4" w:rsidRPr="005224E0" w:rsidRDefault="000C28C4" w:rsidP="00D121F4">
      <w:pPr>
        <w:spacing w:line="360" w:lineRule="auto"/>
        <w:ind w:firstLine="284"/>
        <w:jc w:val="both"/>
        <w:rPr>
          <w:color w:val="000000" w:themeColor="text1"/>
          <w:kern w:val="24"/>
        </w:rPr>
      </w:pPr>
      <w:r w:rsidRPr="005224E0">
        <w:rPr>
          <w:color w:val="000000" w:themeColor="text1"/>
          <w:kern w:val="24"/>
        </w:rPr>
        <w:lastRenderedPageBreak/>
        <w:t xml:space="preserve">Just at this time the first use of plastic insulators began: the annular anode gas-puffing system had to be electrically insulated from the AISI 304 top lid of the machine; Teflon blocks and Teflon tubes for injecting gas on the rear of each of the 30 annular anode modules were introduced, see figure </w:t>
      </w:r>
      <w:r w:rsidRPr="005224E0">
        <w:rPr>
          <w:color w:val="0070C0"/>
          <w:kern w:val="24"/>
        </w:rPr>
        <w:t>3</w:t>
      </w:r>
      <w:r w:rsidRPr="005224E0">
        <w:rPr>
          <w:color w:val="000000" w:themeColor="text1"/>
        </w:rPr>
        <w:t>(b)</w:t>
      </w:r>
      <w:r w:rsidRPr="005224E0">
        <w:rPr>
          <w:color w:val="000000" w:themeColor="text1"/>
          <w:kern w:val="24"/>
        </w:rPr>
        <w:t xml:space="preserve">. The experiment has been run since 2015 without any damage to these Teflon components. Figure </w:t>
      </w:r>
      <w:r w:rsidRPr="005224E0">
        <w:rPr>
          <w:color w:val="0070C0"/>
          <w:kern w:val="24"/>
          <w:lang w:val="en-US"/>
        </w:rPr>
        <w:t>3</w:t>
      </w:r>
      <w:r w:rsidRPr="005224E0">
        <w:rPr>
          <w:color w:val="000000" w:themeColor="text1"/>
          <w:kern w:val="24"/>
          <w:lang w:val="en-US"/>
        </w:rPr>
        <w:t>(</w:t>
      </w:r>
      <w:r w:rsidRPr="005224E0">
        <w:rPr>
          <w:color w:val="000000" w:themeColor="text1"/>
          <w:kern w:val="24"/>
        </w:rPr>
        <w:t>c) illustrates the lifting of the lower cathodic mechanical group from the bottom of the machine, showing that the cylindrical geometry is quite suitable for all kind of interventions, repairs and corrections. During the years from 2014 to 2021 the experiment was opened for repairs and corrections, 9 times the upper mechanical group and 7 times the lower mechanical group were removed and reinserted. This possibility of easily opening, repairing, correcting and closing the machine, is the unique feature that has allowed for the progressive adjustment of the boundary conditions of the experiment.</w:t>
      </w:r>
    </w:p>
    <w:p w14:paraId="00A1D38F" w14:textId="77777777" w:rsidR="000C28C4" w:rsidRPr="005224E0" w:rsidRDefault="000C28C4" w:rsidP="00D121F4">
      <w:pPr>
        <w:spacing w:line="360" w:lineRule="auto"/>
        <w:ind w:firstLine="284"/>
        <w:jc w:val="both"/>
        <w:rPr>
          <w:color w:val="000000" w:themeColor="text1"/>
          <w:kern w:val="24"/>
        </w:rPr>
      </w:pPr>
    </w:p>
    <w:p w14:paraId="5B3DB970" w14:textId="77777777" w:rsidR="000C28C4" w:rsidRPr="005224E0" w:rsidRDefault="000C28C4" w:rsidP="00D121F4">
      <w:pPr>
        <w:pStyle w:val="Heading2"/>
        <w:spacing w:line="360" w:lineRule="auto"/>
        <w:jc w:val="both"/>
        <w:rPr>
          <w:rFonts w:ascii="Times New Roman" w:hAnsi="Times New Roman" w:cs="Times New Roman"/>
          <w:b w:val="0"/>
          <w:i/>
          <w:noProof/>
          <w:color w:val="000000" w:themeColor="text1"/>
          <w:sz w:val="24"/>
          <w:szCs w:val="24"/>
        </w:rPr>
      </w:pPr>
      <w:r w:rsidRPr="005224E0">
        <w:rPr>
          <w:rFonts w:ascii="Times New Roman" w:hAnsi="Times New Roman" w:cs="Times New Roman"/>
          <w:b w:val="0"/>
          <w:i/>
          <w:noProof/>
          <w:color w:val="000000" w:themeColor="text1"/>
          <w:sz w:val="24"/>
          <w:szCs w:val="24"/>
        </w:rPr>
        <w:t>Magnetic nozzle insulation by large Polycarbonate top &amp; bottom flanges</w:t>
      </w:r>
    </w:p>
    <w:p w14:paraId="69FFE922" w14:textId="77777777" w:rsidR="000C28C4" w:rsidRPr="005224E0" w:rsidRDefault="000C28C4" w:rsidP="00D121F4">
      <w:pPr>
        <w:jc w:val="both"/>
      </w:pPr>
    </w:p>
    <w:p w14:paraId="1EE77164" w14:textId="54F55588" w:rsidR="000C28C4" w:rsidRDefault="000C28C4" w:rsidP="00C5093E">
      <w:pPr>
        <w:spacing w:line="360" w:lineRule="auto"/>
        <w:ind w:firstLine="284"/>
        <w:jc w:val="both"/>
        <w:rPr>
          <w:kern w:val="24"/>
        </w:rPr>
      </w:pPr>
      <w:r w:rsidRPr="005224E0">
        <w:rPr>
          <w:kern w:val="24"/>
        </w:rPr>
        <w:t xml:space="preserve">The proper Phase-1 operation of PROTO-SPHERA began during the year 2015, in presence of the final annular anode. </w:t>
      </w:r>
      <w:r w:rsidR="00FF1943" w:rsidRPr="005224E0">
        <w:rPr>
          <w:noProof/>
          <w:lang w:val="en-US"/>
        </w:rPr>
        <w:t>Argon plasmas were produced at first, as their initial break-down voltage (over a total distance of 2.1 m along the magnetic field lines) was as low as 80 V; nevertheless</w:t>
      </w:r>
      <w:r w:rsidRPr="005224E0">
        <w:rPr>
          <w:kern w:val="24"/>
        </w:rPr>
        <w:t xml:space="preserve"> in October 2015, the centerpost current reached only I</w:t>
      </w:r>
      <w:r w:rsidR="003C696F" w:rsidRPr="005224E0">
        <w:rPr>
          <w:kern w:val="24"/>
          <w:vertAlign w:val="subscript"/>
          <w:lang w:val="en-US"/>
        </w:rPr>
        <w:t>CP</w:t>
      </w:r>
      <w:r w:rsidRPr="005224E0">
        <w:rPr>
          <w:kern w:val="24"/>
        </w:rPr>
        <w:t xml:space="preserve">=3.0 kA in Argon plasmas and lasted only 0.3 s.  Copper busbars, already shown in figure </w:t>
      </w:r>
      <w:r w:rsidRPr="005224E0">
        <w:rPr>
          <w:color w:val="4F81BD" w:themeColor="accent1"/>
          <w:kern w:val="24"/>
        </w:rPr>
        <w:t>2</w:t>
      </w:r>
      <w:r w:rsidRPr="005224E0">
        <w:rPr>
          <w:color w:val="000000" w:themeColor="text1"/>
          <w:kern w:val="24"/>
        </w:rPr>
        <w:t xml:space="preserve">(b), </w:t>
      </w:r>
      <w:r w:rsidRPr="005224E0">
        <w:rPr>
          <w:kern w:val="24"/>
        </w:rPr>
        <w:t xml:space="preserve">penetrate through the top and the bottom lids, and introduce inside the vacuum vessel the current that the electrodes convert into the plasma centerpost current. The busbars went at that time through two big AISI304 flanges, placed in the center of the upper and the lower lid of the machine. The problem was that the plasma deposited an increasing level of metallization upon the Copper busbars, shown in figure </w:t>
      </w:r>
      <w:r w:rsidRPr="005224E0">
        <w:rPr>
          <w:color w:val="4F81BD" w:themeColor="accent1"/>
          <w:lang w:val="en-US"/>
        </w:rPr>
        <w:t>4</w:t>
      </w:r>
      <w:r w:rsidRPr="005224E0">
        <w:rPr>
          <w:lang w:val="en-US"/>
        </w:rPr>
        <w:t>(</w:t>
      </w:r>
      <w:r w:rsidRPr="005224E0">
        <w:t>a</w:t>
      </w:r>
      <w:r w:rsidRPr="005224E0">
        <w:rPr>
          <w:kern w:val="24"/>
        </w:rPr>
        <w:t xml:space="preserve">). The space available for insulating of busbars with respect to the flanges was quite narrow, see figure </w:t>
      </w:r>
      <w:r w:rsidRPr="005224E0">
        <w:rPr>
          <w:color w:val="4F81BD" w:themeColor="accent1"/>
          <w:kern w:val="24"/>
          <w:lang w:val="en-US"/>
        </w:rPr>
        <w:t>4</w:t>
      </w:r>
      <w:r w:rsidRPr="005224E0">
        <w:rPr>
          <w:kern w:val="24"/>
          <w:lang w:val="en-US"/>
        </w:rPr>
        <w:t>(</w:t>
      </w:r>
      <w:r w:rsidRPr="005224E0">
        <w:rPr>
          <w:kern w:val="24"/>
        </w:rPr>
        <w:t>b).</w:t>
      </w:r>
    </w:p>
    <w:p w14:paraId="62DF2B4E" w14:textId="77777777" w:rsidR="00C5093E" w:rsidRPr="005224E0" w:rsidRDefault="00C5093E" w:rsidP="00C5093E">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048C37A7" w14:textId="77777777" w:rsidTr="002D25EE">
        <w:tc>
          <w:tcPr>
            <w:tcW w:w="9854" w:type="dxa"/>
          </w:tcPr>
          <w:p w14:paraId="2FF5D229" w14:textId="77777777" w:rsidR="000C28C4" w:rsidRPr="00F2105F" w:rsidRDefault="000C28C4" w:rsidP="00D121F4">
            <w:pPr>
              <w:spacing w:line="360" w:lineRule="auto"/>
              <w:jc w:val="both"/>
              <w:rPr>
                <w:kern w:val="24"/>
              </w:rPr>
            </w:pPr>
            <w:r w:rsidRPr="00F2105F">
              <w:rPr>
                <w:noProof/>
                <w:kern w:val="24"/>
                <w:lang w:eastAsia="en-GB"/>
              </w:rPr>
              <w:drawing>
                <wp:inline distT="0" distB="0" distL="0" distR="0" wp14:anchorId="7090E323" wp14:editId="016697BA">
                  <wp:extent cx="6040074" cy="1176876"/>
                  <wp:effectExtent l="0" t="0" r="5715" b="444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079708" cy="1184598"/>
                          </a:xfrm>
                          <a:prstGeom prst="rect">
                            <a:avLst/>
                          </a:prstGeom>
                          <a:noFill/>
                        </pic:spPr>
                      </pic:pic>
                    </a:graphicData>
                  </a:graphic>
                </wp:inline>
              </w:drawing>
            </w:r>
          </w:p>
        </w:tc>
      </w:tr>
      <w:tr w:rsidR="000C28C4" w:rsidRPr="005224E0" w14:paraId="13CFBF8B" w14:textId="77777777" w:rsidTr="002D25EE">
        <w:tc>
          <w:tcPr>
            <w:tcW w:w="9854" w:type="dxa"/>
          </w:tcPr>
          <w:p w14:paraId="6066BD8A" w14:textId="77777777" w:rsidR="00460C7E" w:rsidRDefault="00460C7E" w:rsidP="00D121F4">
            <w:pPr>
              <w:spacing w:line="360" w:lineRule="auto"/>
              <w:jc w:val="both"/>
              <w:rPr>
                <w:b/>
                <w:bCs/>
                <w:kern w:val="24"/>
                <w:sz w:val="20"/>
                <w:szCs w:val="20"/>
              </w:rPr>
            </w:pPr>
          </w:p>
          <w:p w14:paraId="58BA190A" w14:textId="550E0E31" w:rsidR="000C28C4" w:rsidRPr="00DF5879" w:rsidRDefault="000C28C4" w:rsidP="00D121F4">
            <w:pPr>
              <w:spacing w:line="360" w:lineRule="auto"/>
              <w:jc w:val="both"/>
              <w:rPr>
                <w:bCs/>
                <w:noProof/>
                <w:sz w:val="20"/>
                <w:szCs w:val="20"/>
                <w:lang w:val="en-US"/>
              </w:rPr>
            </w:pPr>
            <w:r w:rsidRPr="005224E0">
              <w:rPr>
                <w:b/>
                <w:bCs/>
                <w:kern w:val="24"/>
                <w:sz w:val="20"/>
                <w:szCs w:val="20"/>
              </w:rPr>
              <w:t xml:space="preserve">Figure </w:t>
            </w:r>
            <w:r w:rsidRPr="005224E0">
              <w:rPr>
                <w:b/>
                <w:bCs/>
                <w:kern w:val="24"/>
                <w:sz w:val="20"/>
                <w:szCs w:val="20"/>
                <w:lang w:val="en-US"/>
              </w:rPr>
              <w:t>4.</w:t>
            </w:r>
            <w:r w:rsidRPr="005224E0">
              <w:rPr>
                <w:kern w:val="24"/>
                <w:sz w:val="20"/>
                <w:szCs w:val="20"/>
              </w:rPr>
              <w:t xml:space="preserve"> In presence of AISI304 central lid flanges: (a) Anode top busbars viewed from inside the vessel.  (b) Enlarged view of one of the cathode bottom busbar, also from the inside, showing a relevant metallization.  </w:t>
            </w:r>
            <w:r w:rsidRPr="005224E0">
              <w:rPr>
                <w:bCs/>
                <w:noProof/>
                <w:sz w:val="20"/>
                <w:szCs w:val="20"/>
                <w:lang w:val="en-US"/>
              </w:rPr>
              <w:t>(c) The visible light of an Argon plasma centerpost emerging from the upper anodic polycarbonate flange, shot #567.  (d) The visible light of an Argon plasma centerpost emerging from the lower cathodic polycarbonate flange, shot #577</w:t>
            </w:r>
            <w:r w:rsidR="00F36299">
              <w:rPr>
                <w:bCs/>
                <w:noProof/>
                <w:sz w:val="20"/>
                <w:szCs w:val="20"/>
                <w:lang w:val="en-US"/>
              </w:rPr>
              <w:t>.</w:t>
            </w:r>
          </w:p>
          <w:p w14:paraId="765F840C" w14:textId="77777777" w:rsidR="000C28C4" w:rsidRPr="005224E0" w:rsidRDefault="000C28C4" w:rsidP="000F0427">
            <w:pPr>
              <w:spacing w:line="360" w:lineRule="auto"/>
              <w:ind w:firstLine="284"/>
              <w:jc w:val="both"/>
              <w:rPr>
                <w:kern w:val="24"/>
              </w:rPr>
            </w:pPr>
            <w:r w:rsidRPr="005224E0">
              <w:rPr>
                <w:kern w:val="24"/>
              </w:rPr>
              <w:lastRenderedPageBreak/>
              <w:t xml:space="preserve">The two big AISI304 flanges were then replaced by two 4 cm thick polycarbonate insulating flanges, machined with the same mechanical details as the metal ones. This replacement happened in June\July 2016. Thanks to the polycarbonate flanges the metallization problem has been solved on both sides of the machine and more than 1200 plasma discharges have thereafter been obtained, without any further deterioration, see figures </w:t>
            </w:r>
            <w:r w:rsidRPr="005224E0">
              <w:rPr>
                <w:color w:val="4F81BD" w:themeColor="accent1"/>
                <w:kern w:val="24"/>
              </w:rPr>
              <w:t>4</w:t>
            </w:r>
            <w:r w:rsidRPr="005224E0">
              <w:rPr>
                <w:kern w:val="24"/>
              </w:rPr>
              <w:t xml:space="preserve">(c) and </w:t>
            </w:r>
            <w:r w:rsidRPr="005224E0">
              <w:rPr>
                <w:color w:val="4F81BD" w:themeColor="accent1"/>
                <w:kern w:val="24"/>
              </w:rPr>
              <w:t>4</w:t>
            </w:r>
            <w:r w:rsidRPr="005224E0">
              <w:rPr>
                <w:kern w:val="24"/>
              </w:rPr>
              <w:t>(d).</w:t>
            </w:r>
          </w:p>
          <w:p w14:paraId="4959C462" w14:textId="77777777" w:rsidR="000C28C4" w:rsidRPr="005224E0" w:rsidRDefault="000C28C4" w:rsidP="00D121F4">
            <w:pPr>
              <w:spacing w:line="360" w:lineRule="auto"/>
              <w:jc w:val="both"/>
              <w:rPr>
                <w:kern w:val="24"/>
              </w:rPr>
            </w:pPr>
          </w:p>
        </w:tc>
      </w:tr>
    </w:tbl>
    <w:p w14:paraId="23F3E61B" w14:textId="2AD6F0FE" w:rsidR="000C28C4" w:rsidRPr="00DF5879" w:rsidRDefault="000C28C4" w:rsidP="00D121F4">
      <w:pPr>
        <w:pStyle w:val="Heading2"/>
        <w:spacing w:line="360" w:lineRule="auto"/>
        <w:jc w:val="both"/>
        <w:rPr>
          <w:rFonts w:ascii="Times New Roman" w:hAnsi="Times New Roman" w:cs="Times New Roman"/>
          <w:b w:val="0"/>
          <w:i/>
          <w:color w:val="000000" w:themeColor="text1"/>
          <w:sz w:val="24"/>
          <w:szCs w:val="24"/>
        </w:rPr>
      </w:pPr>
      <w:r w:rsidRPr="00DF5879">
        <w:rPr>
          <w:rFonts w:ascii="Times New Roman" w:hAnsi="Times New Roman" w:cs="Times New Roman"/>
          <w:b w:val="0"/>
          <w:i/>
          <w:color w:val="000000" w:themeColor="text1"/>
          <w:sz w:val="24"/>
          <w:szCs w:val="24"/>
        </w:rPr>
        <w:lastRenderedPageBreak/>
        <w:t>Triple magnetic X-points and magnetic nozzl</w:t>
      </w:r>
      <w:r w:rsidR="003E775B" w:rsidRPr="00DF5879">
        <w:rPr>
          <w:rFonts w:ascii="Times New Roman" w:hAnsi="Times New Roman" w:cs="Times New Roman"/>
          <w:b w:val="0"/>
          <w:i/>
          <w:color w:val="000000" w:themeColor="text1"/>
          <w:sz w:val="24"/>
          <w:szCs w:val="24"/>
        </w:rPr>
        <w:t>e</w:t>
      </w:r>
    </w:p>
    <w:p w14:paraId="5ECF4C89" w14:textId="77777777" w:rsidR="000C28C4" w:rsidRPr="00DF5879" w:rsidRDefault="000C28C4" w:rsidP="00D121F4">
      <w:pPr>
        <w:jc w:val="both"/>
        <w:rPr>
          <w:color w:val="000000" w:themeColor="text1"/>
        </w:rPr>
      </w:pPr>
    </w:p>
    <w:p w14:paraId="51B7FC7C" w14:textId="530E7AAC" w:rsidR="000C28C4" w:rsidRPr="00DF5879" w:rsidRDefault="000C28C4" w:rsidP="00D121F4">
      <w:pPr>
        <w:spacing w:line="360" w:lineRule="auto"/>
        <w:ind w:firstLine="284"/>
        <w:jc w:val="both"/>
        <w:rPr>
          <w:kern w:val="24"/>
        </w:rPr>
      </w:pPr>
      <w:r w:rsidRPr="00DF5879">
        <w:rPr>
          <w:kern w:val="24"/>
        </w:rPr>
        <w:t>The problem with the top and bottom busbars was not only one of electrical insulation, it was a direct effect of the physics upon which the experiment is based: one of the appealing features of configuration similar to PROTO-SPHERA, in view of future magnetic confinement thermonuclear reactors, is that they contain two degenerate (or triple) X-points [</w:t>
      </w:r>
      <w:r w:rsidR="006D4FD6" w:rsidRPr="00DF5879">
        <w:rPr>
          <w:kern w:val="24"/>
          <w:lang w:val="en-US"/>
        </w:rPr>
        <w:t>33</w:t>
      </w:r>
      <w:r w:rsidRPr="00DF5879">
        <w:rPr>
          <w:kern w:val="24"/>
        </w:rPr>
        <w:t>]. Such triple X-points have null field B=0 and are placed on the symmetry axis, on the opposite sides of the machine, each sitting in the middle of both annular electrodes.</w:t>
      </w:r>
    </w:p>
    <w:p w14:paraId="1A5DFD49" w14:textId="77777777" w:rsidR="000C28C4" w:rsidRPr="00DF5879" w:rsidRDefault="000C28C4" w:rsidP="00D121F4">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53025C9B" w14:textId="77777777" w:rsidTr="009F1708">
        <w:tc>
          <w:tcPr>
            <w:tcW w:w="9854" w:type="dxa"/>
          </w:tcPr>
          <w:p w14:paraId="22CAA400" w14:textId="77777777" w:rsidR="000C28C4" w:rsidRPr="00F2105F" w:rsidRDefault="000C28C4" w:rsidP="009F1708">
            <w:pPr>
              <w:spacing w:line="360" w:lineRule="auto"/>
              <w:jc w:val="both"/>
              <w:rPr>
                <w:kern w:val="24"/>
              </w:rPr>
            </w:pPr>
            <w:r w:rsidRPr="00F2105F">
              <w:rPr>
                <w:noProof/>
                <w:kern w:val="24"/>
                <w:lang w:eastAsia="en-GB"/>
              </w:rPr>
              <w:drawing>
                <wp:inline distT="0" distB="0" distL="0" distR="0" wp14:anchorId="57D75E29" wp14:editId="7C442F72">
                  <wp:extent cx="6274800" cy="1425600"/>
                  <wp:effectExtent l="0" t="0" r="0" b="317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4800" cy="1425600"/>
                          </a:xfrm>
                          <a:prstGeom prst="rect">
                            <a:avLst/>
                          </a:prstGeom>
                          <a:noFill/>
                        </pic:spPr>
                      </pic:pic>
                    </a:graphicData>
                  </a:graphic>
                </wp:inline>
              </w:drawing>
            </w:r>
          </w:p>
        </w:tc>
      </w:tr>
      <w:tr w:rsidR="000C28C4" w:rsidRPr="00F2105F" w14:paraId="395FFD5B" w14:textId="77777777" w:rsidTr="009F1708">
        <w:tc>
          <w:tcPr>
            <w:tcW w:w="9854" w:type="dxa"/>
          </w:tcPr>
          <w:p w14:paraId="1CA78086" w14:textId="77777777" w:rsidR="000C28C4" w:rsidRPr="00255835" w:rsidRDefault="000C28C4" w:rsidP="009F1708">
            <w:pPr>
              <w:spacing w:line="360" w:lineRule="auto"/>
              <w:jc w:val="both"/>
              <w:rPr>
                <w:b/>
                <w:kern w:val="24"/>
                <w:sz w:val="20"/>
                <w:szCs w:val="20"/>
              </w:rPr>
            </w:pPr>
          </w:p>
          <w:p w14:paraId="60FA62D4" w14:textId="77777777" w:rsidR="000C28C4" w:rsidRPr="00255835" w:rsidRDefault="000C28C4" w:rsidP="009F1708">
            <w:pPr>
              <w:spacing w:line="360" w:lineRule="auto"/>
              <w:jc w:val="both"/>
              <w:rPr>
                <w:kern w:val="24"/>
                <w:sz w:val="20"/>
                <w:szCs w:val="20"/>
              </w:rPr>
            </w:pPr>
            <w:r w:rsidRPr="00255835">
              <w:rPr>
                <w:b/>
                <w:kern w:val="24"/>
                <w:sz w:val="20"/>
                <w:szCs w:val="20"/>
              </w:rPr>
              <w:t xml:space="preserve">Figure </w:t>
            </w:r>
            <w:r w:rsidRPr="00255835">
              <w:rPr>
                <w:b/>
                <w:kern w:val="24"/>
                <w:sz w:val="20"/>
                <w:szCs w:val="20"/>
                <w:lang w:val="en-US"/>
              </w:rPr>
              <w:t>5</w:t>
            </w:r>
            <w:r w:rsidRPr="00255835">
              <w:rPr>
                <w:b/>
                <w:kern w:val="24"/>
                <w:sz w:val="20"/>
                <w:szCs w:val="20"/>
              </w:rPr>
              <w:t>.</w:t>
            </w:r>
            <w:r w:rsidRPr="00255835">
              <w:rPr>
                <w:kern w:val="24"/>
                <w:sz w:val="20"/>
                <w:szCs w:val="20"/>
              </w:rPr>
              <w:t xml:space="preserve">  (a) Poloidal cross section map of magnetic lines of force near the anode (yellow), showing the triple X-point on axis, in the middle of the anodic PFInt-B coils (blue).  (b) Image of the upper triple X-point, while the plasma centerpost (which lays below) is being switched-off, shot #117.  (c) The hollow annular anode.</w:t>
            </w:r>
          </w:p>
          <w:p w14:paraId="00AE4A2B" w14:textId="77777777" w:rsidR="000C28C4" w:rsidRPr="00255835" w:rsidRDefault="000C28C4" w:rsidP="009F1708">
            <w:pPr>
              <w:spacing w:line="360" w:lineRule="auto"/>
              <w:jc w:val="both"/>
              <w:rPr>
                <w:kern w:val="24"/>
                <w:sz w:val="20"/>
                <w:szCs w:val="20"/>
              </w:rPr>
            </w:pPr>
          </w:p>
        </w:tc>
      </w:tr>
    </w:tbl>
    <w:p w14:paraId="32876C92" w14:textId="7DE54932" w:rsidR="000C28C4" w:rsidRPr="00255835" w:rsidRDefault="000C28C4" w:rsidP="00D121F4">
      <w:pPr>
        <w:spacing w:line="360" w:lineRule="auto"/>
        <w:ind w:firstLine="284"/>
        <w:jc w:val="both"/>
        <w:rPr>
          <w:kern w:val="24"/>
        </w:rPr>
      </w:pPr>
      <w:r w:rsidRPr="00255835">
        <w:rPr>
          <w:kern w:val="24"/>
        </w:rPr>
        <w:t xml:space="preserve">One of the two triple X-points, the upper one illustrated in the field map of </w:t>
      </w:r>
      <w:r w:rsidRPr="00255835">
        <w:rPr>
          <w:bCs/>
          <w:kern w:val="24"/>
        </w:rPr>
        <w:t xml:space="preserve">figure </w:t>
      </w:r>
      <w:r w:rsidRPr="00255835">
        <w:rPr>
          <w:bCs/>
          <w:color w:val="4F81BD" w:themeColor="accent1"/>
          <w:kern w:val="24"/>
          <w:lang w:val="en-US"/>
        </w:rPr>
        <w:t>5</w:t>
      </w:r>
      <w:r w:rsidRPr="00255835">
        <w:rPr>
          <w:kern w:val="24"/>
        </w:rPr>
        <w:t xml:space="preserve">(a), can be clearly observed – </w:t>
      </w:r>
      <w:r w:rsidRPr="00255835">
        <w:rPr>
          <w:bCs/>
          <w:kern w:val="24"/>
        </w:rPr>
        <w:t xml:space="preserve">figure </w:t>
      </w:r>
      <w:r w:rsidRPr="00255835">
        <w:rPr>
          <w:bCs/>
          <w:color w:val="4F81BD" w:themeColor="accent1"/>
          <w:kern w:val="24"/>
          <w:lang w:val="en-US"/>
        </w:rPr>
        <w:t>5</w:t>
      </w:r>
      <w:r w:rsidRPr="00255835">
        <w:rPr>
          <w:bCs/>
          <w:kern w:val="24"/>
          <w:lang w:val="en-US"/>
        </w:rPr>
        <w:t>(</w:t>
      </w:r>
      <w:r w:rsidRPr="00255835">
        <w:rPr>
          <w:bCs/>
          <w:kern w:val="24"/>
        </w:rPr>
        <w:t>b) –</w:t>
      </w:r>
      <w:r w:rsidRPr="00255835">
        <w:rPr>
          <w:kern w:val="24"/>
        </w:rPr>
        <w:t xml:space="preserve"> in the PROTO-SPHERA discharges</w:t>
      </w:r>
      <w:r w:rsidRPr="00255835">
        <w:rPr>
          <w:bCs/>
          <w:kern w:val="24"/>
        </w:rPr>
        <w:t>,</w:t>
      </w:r>
      <w:r w:rsidRPr="00255835">
        <w:rPr>
          <w:kern w:val="24"/>
        </w:rPr>
        <w:t xml:space="preserve"> in the middle of the annular anode, </w:t>
      </w:r>
      <w:r w:rsidRPr="00255835">
        <w:rPr>
          <w:bCs/>
          <w:kern w:val="24"/>
        </w:rPr>
        <w:t>figure</w:t>
      </w:r>
      <w:r w:rsidRPr="00255835">
        <w:rPr>
          <w:b/>
          <w:bCs/>
          <w:kern w:val="24"/>
        </w:rPr>
        <w:t xml:space="preserve"> </w:t>
      </w:r>
      <w:r w:rsidRPr="00255835">
        <w:rPr>
          <w:bCs/>
          <w:color w:val="4F81BD" w:themeColor="accent1"/>
          <w:kern w:val="24"/>
          <w:lang w:val="en-US"/>
        </w:rPr>
        <w:t>5</w:t>
      </w:r>
      <w:r w:rsidRPr="00255835">
        <w:rPr>
          <w:bCs/>
          <w:kern w:val="24"/>
          <w:lang w:val="en-US"/>
        </w:rPr>
        <w:t>(</w:t>
      </w:r>
      <w:r w:rsidRPr="00255835">
        <w:rPr>
          <w:bCs/>
          <w:kern w:val="24"/>
        </w:rPr>
        <w:t>c)</w:t>
      </w:r>
      <w:r w:rsidRPr="00255835">
        <w:rPr>
          <w:kern w:val="24"/>
        </w:rPr>
        <w:t>. Due to the strong light emission from the anode, the observation is easier during the decay of the plasma centerpost I</w:t>
      </w:r>
      <w:r w:rsidRPr="00255835">
        <w:rPr>
          <w:kern w:val="24"/>
          <w:vertAlign w:val="subscript"/>
        </w:rPr>
        <w:t>CP</w:t>
      </w:r>
      <w:r w:rsidRPr="00255835">
        <w:rPr>
          <w:kern w:val="24"/>
        </w:rPr>
        <w:t xml:space="preserve"> current, when the discharge is being switched off. It is quite evident that the triple X-point is able to channel the plasma directly upon the flanges placed in the center of the upper lid of the machine. The strong permanent light emitted, during the plasma switch-off, from the hot cathode filaments does not allow the observation of the lower cathodic triple </w:t>
      </w:r>
      <w:r w:rsidR="00E47C5B">
        <w:rPr>
          <w:kern w:val="24"/>
        </w:rPr>
        <w:t xml:space="preserve">             </w:t>
      </w:r>
      <w:r w:rsidRPr="00255835">
        <w:rPr>
          <w:kern w:val="24"/>
        </w:rPr>
        <w:t>X-point.</w:t>
      </w:r>
    </w:p>
    <w:p w14:paraId="105CDA2F" w14:textId="41B057E7" w:rsidR="000C28C4" w:rsidRPr="00E27527" w:rsidRDefault="000C28C4" w:rsidP="00D121F4">
      <w:pPr>
        <w:spacing w:line="360" w:lineRule="auto"/>
        <w:ind w:firstLine="284"/>
        <w:jc w:val="both"/>
        <w:rPr>
          <w:kern w:val="24"/>
        </w:rPr>
      </w:pPr>
      <w:r w:rsidRPr="00E27527">
        <w:rPr>
          <w:kern w:val="24"/>
        </w:rPr>
        <w:lastRenderedPageBreak/>
        <w:t xml:space="preserve">In a future fusion reactor the high energy, large poloidal Larmor radius, charged fusion products would drift across the magnetic separatrix, shown in </w:t>
      </w:r>
      <w:r w:rsidRPr="00E27527">
        <w:rPr>
          <w:bCs/>
          <w:kern w:val="24"/>
        </w:rPr>
        <w:t xml:space="preserve">figure </w:t>
      </w:r>
      <w:r w:rsidRPr="00E27527">
        <w:rPr>
          <w:bCs/>
          <w:color w:val="0070C0"/>
          <w:kern w:val="24"/>
        </w:rPr>
        <w:t>1</w:t>
      </w:r>
      <w:r w:rsidRPr="00E27527">
        <w:rPr>
          <w:bCs/>
          <w:kern w:val="24"/>
        </w:rPr>
        <w:t>(b)</w:t>
      </w:r>
      <w:r w:rsidRPr="00E27527">
        <w:rPr>
          <w:kern w:val="24"/>
        </w:rPr>
        <w:t>, from the nuclear burning torus into the open field lines of the plasma centerpost; their expulsion from the plasma centerpost will be preferentially from one of the two triple X-points [</w:t>
      </w:r>
      <w:r w:rsidR="00944E75" w:rsidRPr="00E27527">
        <w:rPr>
          <w:kern w:val="24"/>
          <w:lang w:val="en-US"/>
        </w:rPr>
        <w:t>33</w:t>
      </w:r>
      <w:r w:rsidRPr="00E27527">
        <w:rPr>
          <w:kern w:val="24"/>
        </w:rPr>
        <w:t xml:space="preserve">], depending upon the sign of </w:t>
      </w:r>
      <w:r w:rsidRPr="00E27527">
        <w:rPr>
          <w:noProof/>
          <w:position w:val="-4"/>
          <w:lang w:eastAsia="en-GB"/>
        </w:rPr>
        <w:drawing>
          <wp:inline distT="0" distB="0" distL="0" distR="0" wp14:anchorId="5EDD2AF0" wp14:editId="65C52336">
            <wp:extent cx="274595" cy="164757"/>
            <wp:effectExtent l="0" t="0" r="0" b="0"/>
            <wp:docPr id="35"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595" cy="164757"/>
                    </a:xfrm>
                    <a:prstGeom prst="rect">
                      <a:avLst/>
                    </a:prstGeom>
                  </pic:spPr>
                </pic:pic>
              </a:graphicData>
            </a:graphic>
          </wp:inline>
        </w:drawing>
      </w:r>
      <w:r w:rsidRPr="00E27527">
        <w:rPr>
          <w:kern w:val="24"/>
        </w:rPr>
        <w:t xml:space="preserve"> inside the plasma. This preferential triple X-point could become the basic component of a magnetic nozzle, allowing for the use of the nuclear fusion burner as a space thruster, whereas the other triple X-point could be used for direct energy conversion.</w:t>
      </w:r>
    </w:p>
    <w:p w14:paraId="552AF8F1" w14:textId="77777777" w:rsidR="000C28C4" w:rsidRPr="00E27527" w:rsidRDefault="000C28C4" w:rsidP="00D121F4">
      <w:pPr>
        <w:spacing w:line="360" w:lineRule="auto"/>
        <w:ind w:firstLine="284"/>
        <w:jc w:val="both"/>
        <w:rPr>
          <w:kern w:val="24"/>
        </w:rPr>
      </w:pPr>
    </w:p>
    <w:p w14:paraId="6C9D1468" w14:textId="77777777" w:rsidR="000C28C4" w:rsidRPr="00E27527" w:rsidRDefault="000C28C4" w:rsidP="00D121F4">
      <w:pPr>
        <w:pStyle w:val="Heading2"/>
        <w:spacing w:line="360" w:lineRule="auto"/>
        <w:jc w:val="both"/>
        <w:rPr>
          <w:rFonts w:ascii="Times New Roman" w:hAnsi="Times New Roman" w:cs="Times New Roman"/>
          <w:b w:val="0"/>
          <w:i/>
          <w:noProof/>
          <w:color w:val="000000" w:themeColor="text1"/>
          <w:sz w:val="24"/>
          <w:szCs w:val="24"/>
          <w:lang w:val="en-US"/>
        </w:rPr>
      </w:pPr>
      <w:r w:rsidRPr="00E27527">
        <w:rPr>
          <w:rFonts w:ascii="Times New Roman" w:hAnsi="Times New Roman" w:cs="Times New Roman"/>
          <w:b w:val="0"/>
          <w:i/>
          <w:noProof/>
          <w:color w:val="000000" w:themeColor="text1"/>
          <w:sz w:val="24"/>
          <w:szCs w:val="24"/>
          <w:lang w:val="en-US"/>
        </w:rPr>
        <w:t>The spurious current bridges</w:t>
      </w:r>
    </w:p>
    <w:p w14:paraId="6124D855" w14:textId="77777777" w:rsidR="000C28C4" w:rsidRPr="00F2105F" w:rsidRDefault="000C28C4" w:rsidP="00D121F4">
      <w:pPr>
        <w:jc w:val="both"/>
        <w:rPr>
          <w:rFonts w:ascii="Times" w:hAnsi="Times"/>
          <w:color w:val="000000" w:themeColor="text1"/>
          <w:lang w:val="en-US"/>
        </w:rPr>
      </w:pPr>
    </w:p>
    <w:p w14:paraId="5D8C2D23" w14:textId="77777777" w:rsidR="000C28C4" w:rsidRPr="003337EC" w:rsidRDefault="000C28C4" w:rsidP="00D121F4">
      <w:pPr>
        <w:adjustRightInd w:val="0"/>
        <w:spacing w:line="360" w:lineRule="auto"/>
        <w:ind w:firstLine="284"/>
        <w:jc w:val="both"/>
        <w:rPr>
          <w:noProof/>
          <w:lang w:val="en-US"/>
        </w:rPr>
      </w:pPr>
      <w:r w:rsidRPr="003337EC">
        <w:rPr>
          <w:noProof/>
          <w:lang w:val="en-US"/>
        </w:rPr>
        <w:t xml:space="preserve">After the introduction of the two polycarbonate top and bottom lid flanges, spurious discharges that were able to close the centerpost plasma current onto the Aluminium cylindrical vessel became the next most relevant problem. In Argon these spurious current were not strong enough to trigger abrupt plasma terminations, their effect was limited to sudden decreases of the plasma centerpost current, an example of which is shown in </w:t>
      </w:r>
      <w:r w:rsidRPr="003337EC">
        <w:rPr>
          <w:bCs/>
          <w:noProof/>
          <w:lang w:val="en-US"/>
        </w:rPr>
        <w:t xml:space="preserve">figure </w:t>
      </w:r>
      <w:r w:rsidRPr="003337EC">
        <w:rPr>
          <w:bCs/>
          <w:noProof/>
          <w:color w:val="4F81BD" w:themeColor="accent1"/>
          <w:lang w:val="en-US"/>
        </w:rPr>
        <w:t>6</w:t>
      </w:r>
      <w:r w:rsidRPr="003337EC">
        <w:rPr>
          <w:noProof/>
          <w:lang w:val="en-US"/>
        </w:rPr>
        <w:t>; the sudden current drops were in all cases associated with the plasma centerpost discharging onto the conducting Aluminium vacuum vessel.</w:t>
      </w:r>
    </w:p>
    <w:p w14:paraId="65AC8602" w14:textId="77777777" w:rsidR="000C28C4" w:rsidRPr="003337EC" w:rsidRDefault="000C28C4" w:rsidP="000F0427">
      <w:pPr>
        <w:adjustRightInd w:val="0"/>
        <w:spacing w:line="360" w:lineRule="auto"/>
        <w:ind w:firstLine="284"/>
        <w:jc w:val="center"/>
        <w:rPr>
          <w:noProof/>
        </w:rPr>
      </w:pPr>
    </w:p>
    <w:p w14:paraId="269DE2F4" w14:textId="77777777" w:rsidR="000C28C4" w:rsidRPr="00F2105F" w:rsidRDefault="000C28C4" w:rsidP="000F0427">
      <w:pPr>
        <w:jc w:val="center"/>
        <w:rPr>
          <w:rFonts w:ascii="Times" w:hAnsi="Times"/>
          <w:sz w:val="20"/>
          <w:szCs w:val="20"/>
        </w:rPr>
      </w:pPr>
      <w:r w:rsidRPr="00F2105F">
        <w:rPr>
          <w:rFonts w:ascii="Times" w:hAnsi="Times"/>
          <w:noProof/>
          <w:sz w:val="20"/>
          <w:szCs w:val="20"/>
          <w:lang w:eastAsia="en-GB"/>
        </w:rPr>
        <w:drawing>
          <wp:inline distT="0" distB="0" distL="0" distR="0" wp14:anchorId="56E4A948" wp14:editId="1D3F00C1">
            <wp:extent cx="3761232" cy="18669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46410" cy="1909237"/>
                    </a:xfrm>
                    <a:prstGeom prst="rect">
                      <a:avLst/>
                    </a:prstGeom>
                  </pic:spPr>
                </pic:pic>
              </a:graphicData>
            </a:graphic>
          </wp:inline>
        </w:drawing>
      </w:r>
    </w:p>
    <w:p w14:paraId="12187785" w14:textId="77777777" w:rsidR="000C28C4" w:rsidRPr="00F2105F" w:rsidRDefault="000C28C4" w:rsidP="000F0427">
      <w:pPr>
        <w:jc w:val="center"/>
        <w:rPr>
          <w:rFonts w:ascii="Times" w:hAnsi="Times"/>
          <w:sz w:val="20"/>
          <w:szCs w:val="20"/>
        </w:rPr>
      </w:pPr>
    </w:p>
    <w:p w14:paraId="4FADEABA" w14:textId="77777777" w:rsidR="000C28C4" w:rsidRPr="003337EC" w:rsidRDefault="000C28C4" w:rsidP="00D121F4">
      <w:pPr>
        <w:spacing w:line="360" w:lineRule="auto"/>
        <w:jc w:val="both"/>
        <w:rPr>
          <w:sz w:val="20"/>
          <w:szCs w:val="20"/>
        </w:rPr>
      </w:pPr>
      <w:r w:rsidRPr="003337EC">
        <w:rPr>
          <w:b/>
          <w:noProof/>
          <w:color w:val="000000" w:themeColor="text1"/>
          <w:sz w:val="20"/>
          <w:szCs w:val="20"/>
          <w:lang w:val="en-US"/>
        </w:rPr>
        <w:t>Figure 6.</w:t>
      </w:r>
      <w:r w:rsidRPr="003337EC">
        <w:rPr>
          <w:bCs/>
          <w:noProof/>
          <w:color w:val="000000" w:themeColor="text1"/>
          <w:sz w:val="20"/>
          <w:szCs w:val="20"/>
          <w:lang w:val="en-US"/>
        </w:rPr>
        <w:t xml:space="preserve">  </w:t>
      </w:r>
      <w:r w:rsidRPr="003337EC">
        <w:rPr>
          <w:bCs/>
          <w:noProof/>
          <w:sz w:val="20"/>
          <w:szCs w:val="20"/>
          <w:lang w:val="en-US"/>
        </w:rPr>
        <w:t>Waveforms of Argon centerpost plasma current, evidencing a sudden decrease after the centerpost discharge becomes attached to the Aluminium cylindrical vacuum vessel, shot #208.</w:t>
      </w:r>
    </w:p>
    <w:p w14:paraId="5E12D15D" w14:textId="77777777" w:rsidR="000C28C4" w:rsidRPr="00DC12E1" w:rsidRDefault="000C28C4" w:rsidP="00D121F4">
      <w:pPr>
        <w:adjustRightInd w:val="0"/>
        <w:spacing w:line="360" w:lineRule="auto"/>
        <w:ind w:firstLine="284"/>
        <w:jc w:val="both"/>
        <w:rPr>
          <w:noProof/>
          <w:sz w:val="20"/>
          <w:szCs w:val="20"/>
          <w:lang w:val="en-US"/>
        </w:rPr>
      </w:pPr>
    </w:p>
    <w:p w14:paraId="12F6B6ED" w14:textId="62E72DFC" w:rsidR="000C28C4" w:rsidRPr="000E52D8" w:rsidRDefault="000C28C4" w:rsidP="00D121F4">
      <w:pPr>
        <w:adjustRightInd w:val="0"/>
        <w:spacing w:line="360" w:lineRule="auto"/>
        <w:ind w:firstLine="284"/>
        <w:jc w:val="both"/>
        <w:rPr>
          <w:noProof/>
          <w:lang w:val="en-US"/>
        </w:rPr>
      </w:pPr>
      <w:r w:rsidRPr="000E52D8">
        <w:rPr>
          <w:noProof/>
          <w:lang w:val="en-US"/>
        </w:rPr>
        <w:t>The Aluminium conducting vacuum vessel acted therefore in Argon plasmas as an unwanted current bridge, in parallel and in competition with the plasma centerpost current I</w:t>
      </w:r>
      <w:r w:rsidRPr="000E52D8">
        <w:rPr>
          <w:noProof/>
          <w:vertAlign w:val="subscript"/>
          <w:lang w:val="en-US"/>
        </w:rPr>
        <w:t>CP</w:t>
      </w:r>
      <w:r w:rsidRPr="000E52D8">
        <w:rPr>
          <w:noProof/>
          <w:lang w:val="en-US"/>
        </w:rPr>
        <w:t xml:space="preserve">, see </w:t>
      </w:r>
      <w:r w:rsidRPr="000E52D8">
        <w:rPr>
          <w:bCs/>
          <w:noProof/>
          <w:lang w:val="en-US"/>
        </w:rPr>
        <w:t xml:space="preserve">figure </w:t>
      </w:r>
      <w:r w:rsidRPr="000E52D8">
        <w:rPr>
          <w:bCs/>
          <w:noProof/>
          <w:color w:val="4F81BD" w:themeColor="accent1"/>
          <w:lang w:val="en-US"/>
        </w:rPr>
        <w:t>7</w:t>
      </w:r>
      <w:r w:rsidRPr="000E52D8">
        <w:rPr>
          <w:bCs/>
          <w:noProof/>
          <w:lang w:val="en-US"/>
        </w:rPr>
        <w:t>(</w:t>
      </w:r>
      <w:r w:rsidRPr="000E52D8">
        <w:rPr>
          <w:noProof/>
          <w:lang w:val="en-US"/>
        </w:rPr>
        <w:t xml:space="preserve">a). In Hydrogen plasmas however the unwanted current paths were so strong as to lead to plasma terminations, an example of which is shown in figure </w:t>
      </w:r>
      <w:r w:rsidRPr="000E52D8">
        <w:rPr>
          <w:noProof/>
          <w:color w:val="4F81BD" w:themeColor="accent1"/>
          <w:lang w:val="en-US"/>
        </w:rPr>
        <w:t>7</w:t>
      </w:r>
      <w:r w:rsidRPr="000E52D8">
        <w:rPr>
          <w:noProof/>
          <w:lang w:val="en-US"/>
        </w:rPr>
        <w:t xml:space="preserve">(b) and </w:t>
      </w:r>
      <w:r w:rsidRPr="000E52D8">
        <w:rPr>
          <w:noProof/>
          <w:color w:val="4F81BD" w:themeColor="accent1"/>
          <w:lang w:val="en-US"/>
        </w:rPr>
        <w:t>7</w:t>
      </w:r>
      <w:r w:rsidRPr="000E52D8">
        <w:rPr>
          <w:noProof/>
          <w:lang w:val="en-US"/>
        </w:rPr>
        <w:t>(c); the termination phenomenon was not so different from the well-known Tokamak disruption [</w:t>
      </w:r>
      <w:r w:rsidR="00944E75" w:rsidRPr="000E52D8">
        <w:rPr>
          <w:noProof/>
          <w:lang w:val="en-US"/>
        </w:rPr>
        <w:t>34</w:t>
      </w:r>
      <w:r w:rsidRPr="000E52D8">
        <w:rPr>
          <w:noProof/>
          <w:lang w:val="en-US"/>
        </w:rPr>
        <w:t xml:space="preserve">]. The Hydrogen plasma was much </w:t>
      </w:r>
      <w:r w:rsidRPr="000E52D8">
        <w:rPr>
          <w:noProof/>
          <w:lang w:val="en-US"/>
        </w:rPr>
        <w:lastRenderedPageBreak/>
        <w:t>more prone to terminations than the Argon plasma</w:t>
      </w:r>
      <w:r w:rsidR="009D43D8" w:rsidRPr="000E52D8">
        <w:rPr>
          <w:noProof/>
          <w:lang w:val="en-US"/>
        </w:rPr>
        <w:t>,</w:t>
      </w:r>
      <w:r w:rsidRPr="000E52D8">
        <w:rPr>
          <w:noProof/>
          <w:lang w:val="en-US"/>
        </w:rPr>
        <w:t xml:space="preserve"> as the initial break-down voltage </w:t>
      </w:r>
      <w:r w:rsidR="009D43D8" w:rsidRPr="000E52D8">
        <w:rPr>
          <w:noProof/>
          <w:lang w:val="en-US"/>
        </w:rPr>
        <w:t xml:space="preserve">increased from the </w:t>
      </w:r>
      <w:r w:rsidRPr="000E52D8">
        <w:rPr>
          <w:noProof/>
          <w:lang w:val="en-US"/>
        </w:rPr>
        <w:t xml:space="preserve">80 V for </w:t>
      </w:r>
      <w:r w:rsidR="009D43D8" w:rsidRPr="000E52D8">
        <w:rPr>
          <w:noProof/>
          <w:lang w:val="en-US"/>
        </w:rPr>
        <w:t>the</w:t>
      </w:r>
      <w:r w:rsidRPr="000E52D8">
        <w:rPr>
          <w:noProof/>
          <w:lang w:val="en-US"/>
        </w:rPr>
        <w:t xml:space="preserve"> Argon plasma</w:t>
      </w:r>
      <w:r w:rsidR="009D43D8" w:rsidRPr="000E52D8">
        <w:rPr>
          <w:noProof/>
          <w:lang w:val="en-US"/>
        </w:rPr>
        <w:t>s</w:t>
      </w:r>
      <w:r w:rsidRPr="000E52D8">
        <w:rPr>
          <w:noProof/>
          <w:lang w:val="en-US"/>
        </w:rPr>
        <w:t xml:space="preserve"> </w:t>
      </w:r>
      <w:r w:rsidR="009D43D8" w:rsidRPr="000E52D8">
        <w:rPr>
          <w:noProof/>
          <w:lang w:val="en-US"/>
        </w:rPr>
        <w:t>up</w:t>
      </w:r>
      <w:r w:rsidRPr="000E52D8">
        <w:rPr>
          <w:noProof/>
          <w:lang w:val="en-US"/>
        </w:rPr>
        <w:t xml:space="preserve"> to 240 V for </w:t>
      </w:r>
      <w:r w:rsidR="009D43D8" w:rsidRPr="000E52D8">
        <w:rPr>
          <w:noProof/>
          <w:lang w:val="en-US"/>
        </w:rPr>
        <w:t>the</w:t>
      </w:r>
      <w:r w:rsidRPr="000E52D8">
        <w:rPr>
          <w:noProof/>
          <w:lang w:val="en-US"/>
        </w:rPr>
        <w:t xml:space="preserve"> Hydrogen plasma.</w:t>
      </w:r>
    </w:p>
    <w:p w14:paraId="1DD46948" w14:textId="77777777" w:rsidR="000C28C4" w:rsidRPr="00F2105F" w:rsidRDefault="000C28C4" w:rsidP="002073CA">
      <w:pPr>
        <w:adjustRightInd w:val="0"/>
        <w:spacing w:line="360" w:lineRule="auto"/>
        <w:ind w:right="-1" w:firstLine="284"/>
        <w:jc w:val="both"/>
        <w:rPr>
          <w:rFonts w:ascii="Times" w:hAnsi="Times"/>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06BD0D8A" w14:textId="77777777" w:rsidTr="00D03931">
        <w:tc>
          <w:tcPr>
            <w:tcW w:w="9638" w:type="dxa"/>
          </w:tcPr>
          <w:p w14:paraId="78D7B80F" w14:textId="77777777" w:rsidR="000C28C4" w:rsidRPr="00F2105F" w:rsidRDefault="000C28C4" w:rsidP="002073CA">
            <w:pPr>
              <w:adjustRightInd w:val="0"/>
              <w:spacing w:line="360" w:lineRule="auto"/>
              <w:ind w:left="-111" w:right="-1"/>
              <w:jc w:val="both"/>
              <w:rPr>
                <w:rFonts w:ascii="Times" w:hAnsi="Times"/>
                <w:noProof/>
                <w:lang w:val="en-US"/>
              </w:rPr>
            </w:pPr>
            <w:r w:rsidRPr="00F2105F">
              <w:rPr>
                <w:rFonts w:ascii="Times" w:hAnsi="Times"/>
                <w:noProof/>
                <w:lang w:eastAsia="en-GB"/>
              </w:rPr>
              <w:drawing>
                <wp:inline distT="0" distB="0" distL="0" distR="0" wp14:anchorId="150CBE8A" wp14:editId="24F6601E">
                  <wp:extent cx="5957266" cy="2925412"/>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9382" cy="2941183"/>
                          </a:xfrm>
                          <a:prstGeom prst="rect">
                            <a:avLst/>
                          </a:prstGeom>
                          <a:noFill/>
                        </pic:spPr>
                      </pic:pic>
                    </a:graphicData>
                  </a:graphic>
                </wp:inline>
              </w:drawing>
            </w:r>
          </w:p>
        </w:tc>
      </w:tr>
      <w:tr w:rsidR="000C28C4" w:rsidRPr="00F2105F" w14:paraId="4461161D" w14:textId="77777777" w:rsidTr="00D03931">
        <w:tc>
          <w:tcPr>
            <w:tcW w:w="9638" w:type="dxa"/>
          </w:tcPr>
          <w:p w14:paraId="1DBD24CD" w14:textId="77777777" w:rsidR="000C28C4" w:rsidRPr="00FC6898" w:rsidRDefault="000C28C4" w:rsidP="002073CA">
            <w:pPr>
              <w:adjustRightInd w:val="0"/>
              <w:spacing w:line="360" w:lineRule="auto"/>
              <w:ind w:left="-111" w:right="-1"/>
              <w:jc w:val="both"/>
              <w:rPr>
                <w:b/>
                <w:noProof/>
                <w:sz w:val="20"/>
                <w:szCs w:val="20"/>
                <w:lang w:val="en-US"/>
              </w:rPr>
            </w:pPr>
          </w:p>
          <w:p w14:paraId="7C3992C1" w14:textId="77777777" w:rsidR="000C28C4" w:rsidRPr="00FC6898" w:rsidRDefault="000C28C4" w:rsidP="002073CA">
            <w:pPr>
              <w:adjustRightInd w:val="0"/>
              <w:spacing w:line="360" w:lineRule="auto"/>
              <w:ind w:left="-111" w:right="-1"/>
              <w:jc w:val="both"/>
              <w:rPr>
                <w:bCs/>
                <w:noProof/>
                <w:sz w:val="20"/>
                <w:szCs w:val="20"/>
                <w:lang w:val="en-US"/>
              </w:rPr>
            </w:pPr>
            <w:r w:rsidRPr="00FC6898">
              <w:rPr>
                <w:b/>
                <w:noProof/>
                <w:sz w:val="20"/>
                <w:szCs w:val="20"/>
                <w:lang w:val="en-US"/>
              </w:rPr>
              <w:t>Figure 7.</w:t>
            </w:r>
            <w:r w:rsidRPr="00FC6898">
              <w:rPr>
                <w:bCs/>
                <w:noProof/>
                <w:sz w:val="20"/>
                <w:szCs w:val="20"/>
                <w:lang w:val="en-US"/>
              </w:rPr>
              <w:t xml:space="preserve"> Spurious current path (on the left of the centerpost) in presence of the Aluminium vacuum vessel:  (</w:t>
            </w:r>
            <w:r w:rsidRPr="00FC6898">
              <w:rPr>
                <w:bCs/>
                <w:i/>
                <w:noProof/>
                <w:sz w:val="20"/>
                <w:szCs w:val="20"/>
                <w:lang w:val="en-US"/>
              </w:rPr>
              <w:t>a</w:t>
            </w:r>
            <w:r w:rsidRPr="00FC6898">
              <w:rPr>
                <w:bCs/>
                <w:noProof/>
                <w:sz w:val="20"/>
                <w:szCs w:val="20"/>
                <w:lang w:val="en-US"/>
              </w:rPr>
              <w:t>) Argon centerpost partially affected, shot #128;  (</w:t>
            </w:r>
            <w:r w:rsidRPr="00FC6898">
              <w:rPr>
                <w:bCs/>
                <w:i/>
                <w:noProof/>
                <w:sz w:val="20"/>
                <w:szCs w:val="20"/>
                <w:lang w:val="en-US"/>
              </w:rPr>
              <w:t>b</w:t>
            </w:r>
            <w:r w:rsidRPr="00FC6898">
              <w:rPr>
                <w:bCs/>
                <w:noProof/>
                <w:sz w:val="20"/>
                <w:szCs w:val="20"/>
                <w:lang w:val="en-US"/>
              </w:rPr>
              <w:t>) Hydrogen centerpost seriously affected, shot #78;  (</w:t>
            </w:r>
            <w:r w:rsidRPr="00FC6898">
              <w:rPr>
                <w:bCs/>
                <w:i/>
                <w:noProof/>
                <w:sz w:val="20"/>
                <w:szCs w:val="20"/>
                <w:lang w:val="en-US"/>
              </w:rPr>
              <w:t>c</w:t>
            </w:r>
            <w:r w:rsidRPr="00FC6898">
              <w:rPr>
                <w:bCs/>
                <w:noProof/>
                <w:sz w:val="20"/>
                <w:szCs w:val="20"/>
                <w:lang w:val="en-US"/>
              </w:rPr>
              <w:t>) Hydrogen centerpost driven to plasma termination on sub-millisecond timescale.  (</w:t>
            </w:r>
            <w:r w:rsidRPr="00FC6898">
              <w:rPr>
                <w:bCs/>
                <w:i/>
                <w:noProof/>
                <w:sz w:val="20"/>
                <w:szCs w:val="20"/>
                <w:lang w:val="en-US"/>
              </w:rPr>
              <w:t>d</w:t>
            </w:r>
            <w:r w:rsidRPr="00FC6898">
              <w:rPr>
                <w:bCs/>
                <w:noProof/>
                <w:sz w:val="20"/>
                <w:szCs w:val="20"/>
                <w:lang w:val="en-US"/>
              </w:rPr>
              <w:t>) Maps of magnetic field with spurious current paths being evidenced.</w:t>
            </w:r>
          </w:p>
          <w:p w14:paraId="47BFDE7D" w14:textId="77777777" w:rsidR="000C28C4" w:rsidRPr="00FC6898" w:rsidRDefault="000C28C4" w:rsidP="002073CA">
            <w:pPr>
              <w:adjustRightInd w:val="0"/>
              <w:spacing w:line="360" w:lineRule="auto"/>
              <w:ind w:left="-111" w:right="-1"/>
              <w:jc w:val="both"/>
              <w:rPr>
                <w:bCs/>
                <w:noProof/>
                <w:sz w:val="20"/>
                <w:szCs w:val="20"/>
                <w:lang w:val="en-US"/>
              </w:rPr>
            </w:pPr>
          </w:p>
          <w:p w14:paraId="26C73C4D" w14:textId="77777777" w:rsidR="000C28C4" w:rsidRPr="00FC6898" w:rsidRDefault="000C28C4" w:rsidP="002073CA">
            <w:pPr>
              <w:adjustRightInd w:val="0"/>
              <w:spacing w:line="360" w:lineRule="auto"/>
              <w:ind w:left="-111" w:right="-1"/>
              <w:jc w:val="both"/>
              <w:rPr>
                <w:noProof/>
                <w:lang w:val="en-US"/>
              </w:rPr>
            </w:pPr>
            <w:r w:rsidRPr="00FC6898">
              <w:rPr>
                <w:noProof/>
                <w:lang w:eastAsia="en-GB"/>
              </w:rPr>
              <w:drawing>
                <wp:inline distT="0" distB="0" distL="0" distR="0" wp14:anchorId="1AD22A47" wp14:editId="0BACB54C">
                  <wp:extent cx="6246000" cy="1688400"/>
                  <wp:effectExtent l="0" t="0" r="2540" b="762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6000" cy="1688400"/>
                          </a:xfrm>
                          <a:prstGeom prst="rect">
                            <a:avLst/>
                          </a:prstGeom>
                          <a:noFill/>
                        </pic:spPr>
                      </pic:pic>
                    </a:graphicData>
                  </a:graphic>
                </wp:inline>
              </w:drawing>
            </w:r>
          </w:p>
        </w:tc>
      </w:tr>
      <w:tr w:rsidR="000C28C4" w:rsidRPr="00F2105F" w14:paraId="58CE53A8" w14:textId="77777777" w:rsidTr="00D03931">
        <w:tc>
          <w:tcPr>
            <w:tcW w:w="9638" w:type="dxa"/>
          </w:tcPr>
          <w:p w14:paraId="5B9A1C97" w14:textId="77777777" w:rsidR="000C28C4" w:rsidRPr="00FC6898" w:rsidRDefault="000C28C4" w:rsidP="002073CA">
            <w:pPr>
              <w:adjustRightInd w:val="0"/>
              <w:spacing w:line="360" w:lineRule="auto"/>
              <w:ind w:left="-111" w:right="-1"/>
              <w:jc w:val="both"/>
              <w:rPr>
                <w:b/>
                <w:noProof/>
                <w:sz w:val="20"/>
                <w:szCs w:val="20"/>
                <w:lang w:val="en-US"/>
              </w:rPr>
            </w:pPr>
          </w:p>
          <w:p w14:paraId="4247C6B0" w14:textId="77777777" w:rsidR="000C28C4" w:rsidRPr="00FC6898" w:rsidRDefault="000C28C4" w:rsidP="002073CA">
            <w:pPr>
              <w:adjustRightInd w:val="0"/>
              <w:spacing w:line="360" w:lineRule="auto"/>
              <w:ind w:left="-111" w:right="-1"/>
              <w:jc w:val="both"/>
              <w:rPr>
                <w:bCs/>
                <w:noProof/>
                <w:sz w:val="20"/>
                <w:szCs w:val="20"/>
                <w:lang w:val="en-US"/>
              </w:rPr>
            </w:pPr>
            <w:r w:rsidRPr="00FC6898">
              <w:rPr>
                <w:b/>
                <w:noProof/>
                <w:sz w:val="20"/>
                <w:szCs w:val="20"/>
                <w:lang w:val="en-US"/>
              </w:rPr>
              <w:t>Figure 8.</w:t>
            </w:r>
            <w:r w:rsidRPr="00FC6898">
              <w:rPr>
                <w:bCs/>
                <w:noProof/>
                <w:sz w:val="20"/>
                <w:szCs w:val="20"/>
                <w:lang w:val="en-US"/>
              </w:rPr>
              <w:t xml:space="preserve">  (a) The Aluminium vessel being lined on its inner wall, by two, doubly overlapping, 2mm thick polycarbonate cylindrical foils.  (b) Similar doubly overlapping polycarbonate foils surround the upper anodic mechanical group.  (c) Same for the lower cathodic mechanical group.</w:t>
            </w:r>
          </w:p>
          <w:p w14:paraId="569E351D" w14:textId="77777777" w:rsidR="000C28C4" w:rsidRPr="00FC6898" w:rsidRDefault="000C28C4" w:rsidP="002073CA">
            <w:pPr>
              <w:adjustRightInd w:val="0"/>
              <w:spacing w:line="360" w:lineRule="auto"/>
              <w:ind w:left="-111" w:right="-1"/>
              <w:jc w:val="both"/>
              <w:rPr>
                <w:noProof/>
                <w:lang w:val="en-US"/>
              </w:rPr>
            </w:pPr>
          </w:p>
          <w:p w14:paraId="0E6877F3" w14:textId="77777777" w:rsidR="000C28C4" w:rsidRPr="00FC6898" w:rsidRDefault="000C28C4" w:rsidP="002073CA">
            <w:pPr>
              <w:adjustRightInd w:val="0"/>
              <w:spacing w:line="360" w:lineRule="auto"/>
              <w:ind w:left="-111" w:right="-1"/>
              <w:jc w:val="both"/>
              <w:rPr>
                <w:noProof/>
                <w:lang w:val="en-US"/>
              </w:rPr>
            </w:pPr>
            <w:r w:rsidRPr="00FC6898">
              <w:rPr>
                <w:noProof/>
                <w:lang w:val="en-US"/>
              </w:rPr>
              <w:t xml:space="preserve">This problem was fixed by lining the inner side of the Aluminium vacuum cylinder with two large polycarbonate foils, doubly overlapping, 2 mm thick, 2.05 m high, about 6.4 m overall </w:t>
            </w:r>
            <w:r w:rsidRPr="00FC6898">
              <w:rPr>
                <w:noProof/>
                <w:lang w:val="en-US"/>
              </w:rPr>
              <w:lastRenderedPageBreak/>
              <w:t xml:space="preserve">circumference, shown in </w:t>
            </w:r>
            <w:r w:rsidRPr="00FC6898">
              <w:rPr>
                <w:bCs/>
                <w:noProof/>
                <w:lang w:val="en-US"/>
              </w:rPr>
              <w:t xml:space="preserve">figure </w:t>
            </w:r>
            <w:r w:rsidRPr="00FC6898">
              <w:rPr>
                <w:bCs/>
                <w:noProof/>
                <w:color w:val="4F81BD" w:themeColor="accent1"/>
                <w:lang w:val="en-US"/>
              </w:rPr>
              <w:t>8</w:t>
            </w:r>
            <w:r w:rsidRPr="00FC6898">
              <w:rPr>
                <w:bCs/>
                <w:noProof/>
                <w:lang w:val="en-US"/>
              </w:rPr>
              <w:t>(</w:t>
            </w:r>
            <w:r w:rsidRPr="00FC6898">
              <w:rPr>
                <w:noProof/>
                <w:lang w:val="en-US"/>
              </w:rPr>
              <w:t xml:space="preserve">a). In addition, two secondary, again doubly overlapping, polycarbonate linings, also 2 mm thick, were added on the rear of the upper anodic mechanical group, figure </w:t>
            </w:r>
            <w:r w:rsidRPr="00FC6898">
              <w:rPr>
                <w:noProof/>
                <w:color w:val="4F81BD" w:themeColor="accent1"/>
                <w:lang w:val="en-US"/>
              </w:rPr>
              <w:t>8</w:t>
            </w:r>
            <w:r w:rsidRPr="00FC6898">
              <w:rPr>
                <w:noProof/>
                <w:lang w:val="en-US"/>
              </w:rPr>
              <w:t xml:space="preserve">(b), and on the rear of the lower cathodic mechanical group, figure </w:t>
            </w:r>
            <w:r w:rsidRPr="00FC6898">
              <w:rPr>
                <w:noProof/>
                <w:color w:val="4F81BD" w:themeColor="accent1"/>
                <w:lang w:val="en-US"/>
              </w:rPr>
              <w:t>8</w:t>
            </w:r>
            <w:r w:rsidRPr="00FC6898">
              <w:rPr>
                <w:noProof/>
                <w:lang w:val="en-US"/>
              </w:rPr>
              <w:t>(c).</w:t>
            </w:r>
          </w:p>
        </w:tc>
      </w:tr>
    </w:tbl>
    <w:p w14:paraId="7E6C3E93" w14:textId="19163611" w:rsidR="000C28C4" w:rsidRPr="00FC6898" w:rsidRDefault="000C28C4" w:rsidP="00D121F4">
      <w:pPr>
        <w:adjustRightInd w:val="0"/>
        <w:spacing w:line="360" w:lineRule="auto"/>
        <w:ind w:firstLine="284"/>
        <w:jc w:val="both"/>
        <w:rPr>
          <w:noProof/>
          <w:lang w:val="en-US"/>
        </w:rPr>
      </w:pPr>
      <w:r w:rsidRPr="00FC6898">
        <w:rPr>
          <w:noProof/>
          <w:lang w:val="en-US"/>
        </w:rPr>
        <w:lastRenderedPageBreak/>
        <w:t>Despite plasma terminations were never more observed after that, the Argon plasma centerpost current could not yet overcome the current I</w:t>
      </w:r>
      <w:r w:rsidRPr="00FC6898">
        <w:rPr>
          <w:noProof/>
          <w:vertAlign w:val="subscript"/>
          <w:lang w:val="en-US"/>
        </w:rPr>
        <w:t>PC</w:t>
      </w:r>
      <w:r w:rsidRPr="00FC6898">
        <w:rPr>
          <w:noProof/>
          <w:lang w:val="en-US"/>
        </w:rPr>
        <w:t>=3.5 kA (the target current being I</w:t>
      </w:r>
      <w:r w:rsidRPr="00FC6898">
        <w:rPr>
          <w:noProof/>
          <w:vertAlign w:val="subscript"/>
          <w:lang w:val="en-US"/>
        </w:rPr>
        <w:t>PC</w:t>
      </w:r>
      <w:r w:rsidRPr="00FC6898">
        <w:rPr>
          <w:noProof/>
          <w:lang w:val="en-US"/>
        </w:rPr>
        <w:t xml:space="preserve">=10 kA) as shown in </w:t>
      </w:r>
      <w:r w:rsidRPr="00FC6898">
        <w:rPr>
          <w:bCs/>
          <w:noProof/>
          <w:lang w:val="en-US"/>
        </w:rPr>
        <w:t xml:space="preserve">figure </w:t>
      </w:r>
      <w:r w:rsidRPr="00FC6898">
        <w:rPr>
          <w:bCs/>
          <w:noProof/>
          <w:color w:val="0070C0"/>
          <w:lang w:val="en-US"/>
        </w:rPr>
        <w:t>9</w:t>
      </w:r>
      <w:r w:rsidRPr="00FC6898">
        <w:rPr>
          <w:bCs/>
          <w:noProof/>
          <w:lang w:val="en-US"/>
        </w:rPr>
        <w:t>(</w:t>
      </w:r>
      <w:r w:rsidRPr="00FC6898">
        <w:rPr>
          <w:noProof/>
          <w:lang w:val="en-US"/>
        </w:rPr>
        <w:t xml:space="preserve">a); the reason was again the presence of residual plasma currents flowing outside the proper centerpost path. Thin current carrying plasma filaments, emerging from the lower (cathodic) PF2 mirror coil, as shown in figures </w:t>
      </w:r>
      <w:r w:rsidRPr="00FC6898">
        <w:rPr>
          <w:noProof/>
          <w:color w:val="0070C0"/>
          <w:lang w:val="en-US"/>
        </w:rPr>
        <w:t>9</w:t>
      </w:r>
      <w:r w:rsidRPr="00FC6898">
        <w:rPr>
          <w:noProof/>
          <w:lang w:val="en-US"/>
        </w:rPr>
        <w:t xml:space="preserve">(b) and </w:t>
      </w:r>
      <w:r w:rsidRPr="00FC6898">
        <w:rPr>
          <w:noProof/>
          <w:color w:val="0070C0"/>
          <w:lang w:val="en-US"/>
        </w:rPr>
        <w:t>9</w:t>
      </w:r>
      <w:r w:rsidRPr="00FC6898">
        <w:rPr>
          <w:noProof/>
          <w:lang w:val="en-US"/>
        </w:rPr>
        <w:t>(c), were usually brighter on their plasma-metal terminations at their negative electric potential but almost invisible on their plasma-metal terminations at the positive potential. Like in the case of ELM instabilities [</w:t>
      </w:r>
      <w:r w:rsidR="00944E75" w:rsidRPr="00FC6898">
        <w:rPr>
          <w:noProof/>
          <w:lang w:val="en-US"/>
        </w:rPr>
        <w:t>35</w:t>
      </w:r>
      <w:r w:rsidRPr="00FC6898">
        <w:rPr>
          <w:noProof/>
          <w:lang w:val="en-US"/>
        </w:rPr>
        <w:t>], the filaments followed closely the magnetic lines of force and significantly broke the axial symmetry of the machine.</w:t>
      </w:r>
    </w:p>
    <w:p w14:paraId="19A998D9" w14:textId="77777777" w:rsidR="000C28C4" w:rsidRPr="00F2105F" w:rsidRDefault="000C28C4" w:rsidP="00D121F4">
      <w:pPr>
        <w:adjustRightInd w:val="0"/>
        <w:spacing w:line="360" w:lineRule="auto"/>
        <w:ind w:firstLine="284"/>
        <w:jc w:val="both"/>
        <w:rPr>
          <w:rFonts w:ascii="Times" w:hAnsi="Times"/>
          <w:noProof/>
          <w:lang w:val="en-US"/>
        </w:rPr>
      </w:pPr>
    </w:p>
    <w:tbl>
      <w:tblPr>
        <w:tblStyle w:val="TableGrid"/>
        <w:tblpPr w:leftFromText="180" w:rightFromText="180" w:vertAnchor="text" w:horzAnchor="margin" w:tblpY="-1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746A160A" w14:textId="77777777" w:rsidTr="009F1708">
        <w:tc>
          <w:tcPr>
            <w:tcW w:w="9854" w:type="dxa"/>
          </w:tcPr>
          <w:p w14:paraId="1A5971A9" w14:textId="77777777" w:rsidR="000C28C4" w:rsidRPr="00F2105F" w:rsidRDefault="000C28C4" w:rsidP="009F1708">
            <w:pPr>
              <w:adjustRightInd w:val="0"/>
              <w:spacing w:line="360" w:lineRule="auto"/>
              <w:jc w:val="both"/>
              <w:rPr>
                <w:rFonts w:ascii="Times" w:hAnsi="Times"/>
                <w:noProof/>
                <w:sz w:val="20"/>
                <w:szCs w:val="20"/>
                <w:lang w:val="en-US"/>
              </w:rPr>
            </w:pPr>
            <w:r w:rsidRPr="00F2105F">
              <w:rPr>
                <w:rFonts w:ascii="Times" w:hAnsi="Times"/>
                <w:noProof/>
                <w:sz w:val="20"/>
                <w:szCs w:val="20"/>
                <w:lang w:eastAsia="en-GB"/>
              </w:rPr>
              <w:drawing>
                <wp:inline distT="0" distB="0" distL="0" distR="0" wp14:anchorId="7BB3CD5E" wp14:editId="3BDA8829">
                  <wp:extent cx="6264000" cy="2109600"/>
                  <wp:effectExtent l="0" t="0" r="3810" b="508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64000" cy="2109600"/>
                          </a:xfrm>
                          <a:prstGeom prst="rect">
                            <a:avLst/>
                          </a:prstGeom>
                          <a:noFill/>
                        </pic:spPr>
                      </pic:pic>
                    </a:graphicData>
                  </a:graphic>
                </wp:inline>
              </w:drawing>
            </w:r>
          </w:p>
        </w:tc>
      </w:tr>
      <w:tr w:rsidR="000C28C4" w:rsidRPr="00FC6898" w14:paraId="303ACCB5" w14:textId="77777777" w:rsidTr="009F1708">
        <w:tc>
          <w:tcPr>
            <w:tcW w:w="9854" w:type="dxa"/>
          </w:tcPr>
          <w:p w14:paraId="24DC7FEF" w14:textId="77777777" w:rsidR="000C28C4" w:rsidRPr="00FC6898" w:rsidRDefault="000C28C4" w:rsidP="009F1708">
            <w:pPr>
              <w:adjustRightInd w:val="0"/>
              <w:spacing w:line="360" w:lineRule="auto"/>
              <w:jc w:val="both"/>
              <w:rPr>
                <w:b/>
                <w:noProof/>
                <w:sz w:val="20"/>
                <w:szCs w:val="20"/>
                <w:lang w:val="en-US"/>
              </w:rPr>
            </w:pPr>
          </w:p>
          <w:p w14:paraId="3A24C8DE" w14:textId="77777777" w:rsidR="000C28C4" w:rsidRPr="00FC6898" w:rsidRDefault="000C28C4" w:rsidP="009F1708">
            <w:pPr>
              <w:adjustRightInd w:val="0"/>
              <w:spacing w:line="360" w:lineRule="auto"/>
              <w:jc w:val="both"/>
              <w:rPr>
                <w:bCs/>
                <w:noProof/>
                <w:sz w:val="20"/>
                <w:szCs w:val="20"/>
                <w:lang w:val="en-US"/>
              </w:rPr>
            </w:pPr>
            <w:r w:rsidRPr="00FC6898">
              <w:rPr>
                <w:b/>
                <w:noProof/>
                <w:sz w:val="20"/>
                <w:szCs w:val="20"/>
                <w:lang w:val="en-US"/>
              </w:rPr>
              <w:t>Figure 9.</w:t>
            </w:r>
            <w:r w:rsidRPr="00FC6898">
              <w:rPr>
                <w:bCs/>
                <w:noProof/>
                <w:sz w:val="20"/>
                <w:szCs w:val="20"/>
                <w:lang w:val="en-US"/>
              </w:rPr>
              <w:t xml:space="preserve">  (a) Waveforms of Argon centerpost plasma current, evidencing a slow decrease of plasma centerpost current I</w:t>
            </w:r>
            <w:r w:rsidRPr="00FC6898">
              <w:rPr>
                <w:bCs/>
                <w:noProof/>
                <w:sz w:val="20"/>
                <w:szCs w:val="20"/>
                <w:vertAlign w:val="subscript"/>
                <w:lang w:val="en-US"/>
              </w:rPr>
              <w:t>e</w:t>
            </w:r>
            <w:r w:rsidRPr="00FC6898">
              <w:rPr>
                <w:bCs/>
                <w:noProof/>
                <w:sz w:val="20"/>
                <w:szCs w:val="20"/>
                <w:lang w:val="en-US"/>
              </w:rPr>
              <w:t>.  (b) and (c) Spurious plasma currents with filamentary patterns near the lower PF2 mirror coil. All figures refer to shot #597.</w:t>
            </w:r>
          </w:p>
        </w:tc>
      </w:tr>
    </w:tbl>
    <w:p w14:paraId="3929C4DF" w14:textId="1226615D" w:rsidR="000C28C4" w:rsidRDefault="000C28C4" w:rsidP="00FC6898">
      <w:pPr>
        <w:adjustRightInd w:val="0"/>
        <w:spacing w:line="360" w:lineRule="auto"/>
        <w:ind w:firstLine="284"/>
        <w:jc w:val="both"/>
      </w:pPr>
      <w:r w:rsidRPr="00FC6898">
        <w:rPr>
          <w:noProof/>
          <w:lang w:val="en-US"/>
        </w:rPr>
        <w:t xml:space="preserve">Other modifications were made in order to prevent the flowing of plasma currents outside the prescribed path: first two large insulating diaphragm separators, see figure </w:t>
      </w:r>
      <w:r w:rsidRPr="00FC6898">
        <w:rPr>
          <w:noProof/>
          <w:color w:val="4F81BD" w:themeColor="accent1"/>
          <w:lang w:val="en-US"/>
        </w:rPr>
        <w:t>10</w:t>
      </w:r>
      <w:r w:rsidRPr="00FC6898">
        <w:rPr>
          <w:noProof/>
          <w:lang w:val="en-US"/>
        </w:rPr>
        <w:t>(a), made out of a 10 mm thick polycarbonate slab, pierced by two passing holes for the plasma, were inserted in the central part the machine, attached to edges of the upper and of the lower mechanical groups, not far from the two PF2 internal mirror coil, which are separated from each other by 0.87 m. A polycarbonate insulating spacer ring, vacuum sealed with two o-rings on both sides, was furthermore inserted</w:t>
      </w:r>
      <w:r w:rsidRPr="00F2105F">
        <w:rPr>
          <w:rFonts w:ascii="Times" w:hAnsi="Times"/>
          <w:noProof/>
          <w:lang w:val="en-US"/>
        </w:rPr>
        <w:t xml:space="preserve"> </w:t>
      </w:r>
      <w:r w:rsidRPr="00FC6898">
        <w:rPr>
          <w:noProof/>
          <w:lang w:val="en-US"/>
        </w:rPr>
        <w:t xml:space="preserve">between the upper ferrule and the Aluminium vessel, see figure </w:t>
      </w:r>
      <w:r w:rsidRPr="00FC6898">
        <w:rPr>
          <w:noProof/>
          <w:color w:val="4F81BD" w:themeColor="accent1"/>
          <w:lang w:val="en-US"/>
        </w:rPr>
        <w:t>10</w:t>
      </w:r>
      <w:r w:rsidRPr="00FC6898">
        <w:rPr>
          <w:noProof/>
          <w:lang w:val="en-US"/>
        </w:rPr>
        <w:t xml:space="preserve">(b); an identical insulating spacer </w:t>
      </w:r>
      <w:r w:rsidRPr="00FC6898">
        <w:rPr>
          <w:noProof/>
          <w:lang w:val="en-US"/>
        </w:rPr>
        <w:lastRenderedPageBreak/>
        <w:t xml:space="preserve">ring was put in position on the bottom of the machine. The purpose of the two spacing rings is to </w:t>
      </w:r>
      <w:r w:rsidRPr="00FC6898">
        <w:t>insulate electrically the Aluminum vessel from the two ferrule-and-lid on top and bottom.</w:t>
      </w:r>
    </w:p>
    <w:p w14:paraId="6571F996" w14:textId="77777777" w:rsidR="00C5093E" w:rsidRPr="00FC6898" w:rsidRDefault="00C5093E" w:rsidP="00FC6898">
      <w:pPr>
        <w:adjustRightInd w:val="0"/>
        <w:spacing w:line="360" w:lineRule="auto"/>
        <w:ind w:firstLine="284"/>
        <w:jc w:val="both"/>
        <w:rPr>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4CA733F6" w14:textId="77777777" w:rsidTr="00EB761C">
        <w:tc>
          <w:tcPr>
            <w:tcW w:w="9854" w:type="dxa"/>
          </w:tcPr>
          <w:p w14:paraId="12727961" w14:textId="77777777" w:rsidR="000C28C4" w:rsidRPr="00F2105F" w:rsidRDefault="000C28C4" w:rsidP="00D121F4">
            <w:pPr>
              <w:adjustRightInd w:val="0"/>
              <w:spacing w:line="360" w:lineRule="auto"/>
              <w:jc w:val="both"/>
              <w:rPr>
                <w:rFonts w:ascii="Times" w:hAnsi="Times"/>
                <w:noProof/>
                <w:sz w:val="20"/>
                <w:szCs w:val="20"/>
                <w:lang w:val="en-US"/>
              </w:rPr>
            </w:pPr>
            <w:r w:rsidRPr="00F2105F">
              <w:rPr>
                <w:rFonts w:ascii="Times" w:hAnsi="Times"/>
                <w:noProof/>
                <w:sz w:val="20"/>
                <w:szCs w:val="20"/>
                <w:lang w:eastAsia="en-GB"/>
              </w:rPr>
              <w:drawing>
                <wp:inline distT="0" distB="0" distL="0" distR="0" wp14:anchorId="49A64DDB" wp14:editId="0C05B6E9">
                  <wp:extent cx="6120130" cy="1895297"/>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1895297"/>
                          </a:xfrm>
                          <a:prstGeom prst="rect">
                            <a:avLst/>
                          </a:prstGeom>
                        </pic:spPr>
                      </pic:pic>
                    </a:graphicData>
                  </a:graphic>
                </wp:inline>
              </w:drawing>
            </w:r>
          </w:p>
        </w:tc>
      </w:tr>
      <w:tr w:rsidR="000C28C4" w:rsidRPr="00F2105F" w14:paraId="650E9241" w14:textId="77777777" w:rsidTr="00EB761C">
        <w:tc>
          <w:tcPr>
            <w:tcW w:w="9854" w:type="dxa"/>
          </w:tcPr>
          <w:p w14:paraId="45814746" w14:textId="77777777" w:rsidR="000C28C4" w:rsidRPr="00FC6898" w:rsidRDefault="000C28C4" w:rsidP="00D121F4">
            <w:pPr>
              <w:adjustRightInd w:val="0"/>
              <w:spacing w:line="360" w:lineRule="auto"/>
              <w:jc w:val="both"/>
              <w:rPr>
                <w:noProof/>
                <w:sz w:val="20"/>
                <w:szCs w:val="20"/>
                <w:lang w:val="en-US"/>
              </w:rPr>
            </w:pPr>
            <w:r w:rsidRPr="00FC6898">
              <w:rPr>
                <w:b/>
                <w:noProof/>
                <w:sz w:val="20"/>
                <w:szCs w:val="20"/>
                <w:lang w:val="en-US"/>
              </w:rPr>
              <w:t>Figure 10.</w:t>
            </w:r>
            <w:r w:rsidRPr="00FC6898">
              <w:rPr>
                <w:bCs/>
                <w:noProof/>
                <w:sz w:val="20"/>
                <w:szCs w:val="20"/>
                <w:lang w:val="en-US"/>
              </w:rPr>
              <w:t xml:space="preserve">  (a) Upper and lower diaphragm </w:t>
            </w:r>
            <w:r w:rsidRPr="00FC6898">
              <w:rPr>
                <w:noProof/>
                <w:sz w:val="20"/>
                <w:szCs w:val="20"/>
                <w:lang w:val="en-US"/>
              </w:rPr>
              <w:t>glued to the cylindrical large polycarbonate foil with a vacuum compatible strong sealant, able to sustain the diaphragm weight.</w:t>
            </w:r>
            <w:r w:rsidRPr="00FC6898">
              <w:rPr>
                <w:bCs/>
                <w:noProof/>
                <w:sz w:val="20"/>
                <w:szCs w:val="20"/>
                <w:lang w:val="en-US"/>
              </w:rPr>
              <w:t xml:space="preserve">  (b) </w:t>
            </w:r>
            <w:r w:rsidRPr="00FC6898">
              <w:rPr>
                <w:noProof/>
                <w:sz w:val="20"/>
                <w:szCs w:val="20"/>
                <w:lang w:val="en-US"/>
              </w:rPr>
              <w:t xml:space="preserve">Polycarbonate insulating spacer ring, vacuum sealed with two o-rings on both sides, inserted between the upper ferrule and the Aluminium vessel, sketched also in Fig. </w:t>
            </w:r>
            <w:r w:rsidRPr="00FC6898">
              <w:rPr>
                <w:noProof/>
                <w:color w:val="0070C0"/>
                <w:sz w:val="20"/>
                <w:szCs w:val="20"/>
                <w:lang w:val="en-US"/>
              </w:rPr>
              <w:t>2</w:t>
            </w:r>
            <w:r w:rsidRPr="00FC6898">
              <w:rPr>
                <w:noProof/>
                <w:sz w:val="20"/>
                <w:szCs w:val="20"/>
                <w:lang w:val="en-US"/>
              </w:rPr>
              <w:t>(a).</w:t>
            </w:r>
          </w:p>
          <w:p w14:paraId="0B981948" w14:textId="77777777" w:rsidR="000C28C4" w:rsidRPr="00FC6898" w:rsidRDefault="000C28C4" w:rsidP="00D121F4">
            <w:pPr>
              <w:adjustRightInd w:val="0"/>
              <w:spacing w:line="360" w:lineRule="auto"/>
              <w:jc w:val="both"/>
              <w:rPr>
                <w:noProof/>
                <w:sz w:val="20"/>
                <w:szCs w:val="20"/>
                <w:lang w:val="en-US"/>
              </w:rPr>
            </w:pPr>
          </w:p>
        </w:tc>
      </w:tr>
    </w:tbl>
    <w:p w14:paraId="5A05369D" w14:textId="669F7FF6" w:rsidR="000C28C4" w:rsidRPr="00FC6898" w:rsidRDefault="000C28C4" w:rsidP="00FC6898">
      <w:pPr>
        <w:spacing w:line="408" w:lineRule="auto"/>
        <w:ind w:firstLine="284"/>
        <w:jc w:val="both"/>
      </w:pPr>
      <w:r w:rsidRPr="00FC6898">
        <w:t xml:space="preserve">After these two last modifications of the electrostatic boundary conditions, the aim of the Plasma-Centerpost for the experimental Phase-1, see figure </w:t>
      </w:r>
      <w:r w:rsidRPr="00FC6898">
        <w:rPr>
          <w:color w:val="4F81BD" w:themeColor="accent1"/>
        </w:rPr>
        <w:t>11</w:t>
      </w:r>
      <w:r w:rsidRPr="00FC6898">
        <w:t xml:space="preserve">(b) and </w:t>
      </w:r>
      <w:r w:rsidRPr="00FC6898">
        <w:rPr>
          <w:color w:val="4F81BD" w:themeColor="accent1"/>
        </w:rPr>
        <w:t>12</w:t>
      </w:r>
      <w:r w:rsidRPr="00FC6898">
        <w:t>(a), was obtained in Argon in January 2018, with break-down voltage ≈ 90 V: the electrode plasma current I</w:t>
      </w:r>
      <w:r w:rsidRPr="00FC6898">
        <w:rPr>
          <w:vertAlign w:val="subscript"/>
        </w:rPr>
        <w:t>CP</w:t>
      </w:r>
      <w:r w:rsidRPr="00FC6898">
        <w:t xml:space="preserve"> was sustained for 1 second at 10 kA while the anode-to-cathod</w:t>
      </w:r>
      <w:r w:rsidR="00725769">
        <w:t>e voltage increased to ≈ 200 V.</w:t>
      </w:r>
    </w:p>
    <w:p w14:paraId="150D17C1" w14:textId="77777777" w:rsidR="000C28C4" w:rsidRPr="00F2105F" w:rsidRDefault="000C28C4" w:rsidP="00D121F4">
      <w:pPr>
        <w:spacing w:line="360" w:lineRule="auto"/>
        <w:jc w:val="both"/>
        <w:rPr>
          <w:noProof/>
          <w:kern w:val="24"/>
        </w:rPr>
      </w:pPr>
      <w:r w:rsidRPr="00F2105F">
        <w:rPr>
          <w:i/>
          <w:noProof/>
          <w:kern w:val="24"/>
          <w:lang w:eastAsia="en-GB"/>
        </w:rPr>
        <mc:AlternateContent>
          <mc:Choice Requires="wps">
            <w:drawing>
              <wp:anchor distT="0" distB="0" distL="114300" distR="114300" simplePos="0" relativeHeight="251659264" behindDoc="0" locked="0" layoutInCell="1" allowOverlap="1" wp14:anchorId="5246AEC8" wp14:editId="7CAC19F3">
                <wp:simplePos x="0" y="0"/>
                <wp:positionH relativeFrom="column">
                  <wp:posOffset>3579114</wp:posOffset>
                </wp:positionH>
                <wp:positionV relativeFrom="paragraph">
                  <wp:posOffset>2143125</wp:posOffset>
                </wp:positionV>
                <wp:extent cx="195072" cy="3155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BDE7F" w14:textId="77777777" w:rsidR="000C28C4" w:rsidRPr="002A72C1" w:rsidRDefault="000C28C4" w:rsidP="00A561C1">
                            <w:pPr>
                              <w:rPr>
                                <w:b/>
                                <w:lang w:val="en-US"/>
                              </w:rPr>
                            </w:pPr>
                            <w:r>
                              <w:rPr>
                                <w:b/>
                                <w:lang w:val="en-US"/>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46AEC8" id="_x0000_t202" coordsize="21600,21600" o:spt="202" path="m0,0l0,21600,21600,21600,21600,0xe">
                <v:stroke joinstyle="miter"/>
                <v:path gradientshapeok="t" o:connecttype="rect"/>
              </v:shapetype>
              <v:shape id="Text Box 3" o:spid="_x0000_s1026" type="#_x0000_t202" style="position:absolute;left:0;text-align:left;margin-left:281.8pt;margin-top:168.75pt;width:15.3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" filled="f" stroked="f">
                <v:textbox>
                  <w:txbxContent>
                    <w:p w14:paraId="581BDE7F" w14:textId="77777777" w:rsidR="000C28C4" w:rsidRPr="002A72C1" w:rsidRDefault="000C28C4" w:rsidP="00A561C1">
                      <w:pPr>
                        <w:rPr>
                          <w:b/>
                          <w:lang w:val="en-US"/>
                        </w:rPr>
                      </w:pPr>
                      <w:r>
                        <w:rPr>
                          <w:b/>
                          <w:lang w:val="en-US"/>
                        </w:rPr>
                        <w:t>d</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2336" behindDoc="0" locked="0" layoutInCell="1" allowOverlap="1" wp14:anchorId="716C83AC" wp14:editId="6B045C30">
                <wp:simplePos x="0" y="0"/>
                <wp:positionH relativeFrom="column">
                  <wp:posOffset>2659634</wp:posOffset>
                </wp:positionH>
                <wp:positionV relativeFrom="paragraph">
                  <wp:posOffset>1884807</wp:posOffset>
                </wp:positionV>
                <wp:extent cx="282575" cy="3155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38222" w14:textId="77777777" w:rsidR="000C28C4" w:rsidRPr="008472A8" w:rsidRDefault="000C28C4" w:rsidP="00694D84">
                            <w:pPr>
                              <w:rPr>
                                <w:b/>
                              </w:rPr>
                            </w:pPr>
                            <w:r>
                              <w:rPr>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6C83AC" id="Text Box 5" o:spid="_x0000_s1027" type="#_x0000_t202" style="position:absolute;left:0;text-align:left;margin-left:209.4pt;margin-top:148.4pt;width:22.25pt;height:2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" filled="f" stroked="f">
                <v:textbox>
                  <w:txbxContent>
                    <w:p w14:paraId="40338222" w14:textId="77777777" w:rsidR="000C28C4" w:rsidRPr="008472A8" w:rsidRDefault="000C28C4" w:rsidP="00694D84">
                      <w:pPr>
                        <w:rPr>
                          <w:b/>
                        </w:rPr>
                      </w:pPr>
                      <w:r>
                        <w:rPr>
                          <w:b/>
                        </w:rPr>
                        <w:t>c</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1312" behindDoc="0" locked="0" layoutInCell="1" allowOverlap="1" wp14:anchorId="21517D46" wp14:editId="4E3FA631">
                <wp:simplePos x="0" y="0"/>
                <wp:positionH relativeFrom="column">
                  <wp:posOffset>1758315</wp:posOffset>
                </wp:positionH>
                <wp:positionV relativeFrom="paragraph">
                  <wp:posOffset>1882775</wp:posOffset>
                </wp:positionV>
                <wp:extent cx="282575" cy="31559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41D95" w14:textId="77777777" w:rsidR="000C28C4" w:rsidRPr="008472A8" w:rsidRDefault="000C28C4" w:rsidP="00694D84">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17D46" id="Text Box 7" o:spid="_x0000_s1028" type="#_x0000_t202" style="position:absolute;left:0;text-align:left;margin-left:138.45pt;margin-top:148.25pt;width:22.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" filled="f" stroked="f">
                <v:textbox>
                  <w:txbxContent>
                    <w:p w14:paraId="13141D95" w14:textId="77777777" w:rsidR="000C28C4" w:rsidRPr="008472A8" w:rsidRDefault="000C28C4" w:rsidP="00694D84">
                      <w:pPr>
                        <w:rPr>
                          <w:b/>
                        </w:rPr>
                      </w:pPr>
                      <w:r>
                        <w:rPr>
                          <w:b/>
                        </w:rPr>
                        <w:t>b</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0288" behindDoc="0" locked="0" layoutInCell="1" allowOverlap="1" wp14:anchorId="7AD795BE" wp14:editId="3B988219">
                <wp:simplePos x="0" y="0"/>
                <wp:positionH relativeFrom="column">
                  <wp:posOffset>-28321</wp:posOffset>
                </wp:positionH>
                <wp:positionV relativeFrom="paragraph">
                  <wp:posOffset>2146300</wp:posOffset>
                </wp:positionV>
                <wp:extent cx="282575" cy="31559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9EB2" w14:textId="77777777" w:rsidR="000C28C4" w:rsidRPr="008472A8" w:rsidRDefault="000C28C4" w:rsidP="00694D84">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795BE" id="Text Box 32" o:spid="_x0000_s1029" type="#_x0000_t202" style="position:absolute;left:0;text-align:left;margin-left:-2.25pt;margin-top:169pt;width:22.25pt;height: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ktuLk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" filled="f" stroked="f">
                <v:textbox>
                  <w:txbxContent>
                    <w:p w14:paraId="05BF9EB2" w14:textId="77777777" w:rsidR="000C28C4" w:rsidRPr="008472A8" w:rsidRDefault="000C28C4" w:rsidP="00694D84">
                      <w:pPr>
                        <w:rPr>
                          <w:b/>
                        </w:rPr>
                      </w:pPr>
                      <w:r w:rsidRPr="008472A8">
                        <w:rPr>
                          <w:b/>
                        </w:rPr>
                        <w:t>a</w:t>
                      </w:r>
                    </w:p>
                  </w:txbxContent>
                </v:textbox>
              </v:shape>
            </w:pict>
          </mc:Fallback>
        </mc:AlternateContent>
      </w:r>
      <w:r w:rsidRPr="00F2105F">
        <w:rPr>
          <w:i/>
          <w:noProof/>
          <w:kern w:val="24"/>
          <w:sz w:val="10"/>
          <w:szCs w:val="10"/>
          <w:lang w:eastAsia="en-GB"/>
        </w:rPr>
        <w:drawing>
          <wp:inline distT="0" distB="0" distL="0" distR="0" wp14:anchorId="64C3DE75" wp14:editId="493A257D">
            <wp:extent cx="6120130" cy="2295525"/>
            <wp:effectExtent l="0" t="0" r="127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2295525"/>
                    </a:xfrm>
                    <a:prstGeom prst="rect">
                      <a:avLst/>
                    </a:prstGeom>
                  </pic:spPr>
                </pic:pic>
              </a:graphicData>
            </a:graphic>
          </wp:inline>
        </w:drawing>
      </w:r>
      <w:r w:rsidRPr="00F2105F">
        <w:rPr>
          <w:noProof/>
          <w:kern w:val="24"/>
        </w:rPr>
        <w:t xml:space="preserve">   </w:t>
      </w:r>
    </w:p>
    <w:p w14:paraId="3254FE1D" w14:textId="77777777" w:rsidR="000C28C4" w:rsidRPr="00F2105F" w:rsidRDefault="000C28C4" w:rsidP="00D121F4">
      <w:pPr>
        <w:spacing w:line="360" w:lineRule="auto"/>
        <w:jc w:val="both"/>
        <w:rPr>
          <w:b/>
          <w:i/>
          <w:color w:val="000000" w:themeColor="text1"/>
          <w:sz w:val="20"/>
          <w:szCs w:val="20"/>
        </w:rPr>
      </w:pPr>
      <w:r w:rsidRPr="00F2105F">
        <w:rPr>
          <w:noProof/>
          <w:kern w:val="24"/>
          <w:sz w:val="20"/>
          <w:szCs w:val="20"/>
        </w:rPr>
        <w:t xml:space="preserve">   </w:t>
      </w:r>
      <w:r w:rsidRPr="00F2105F">
        <w:rPr>
          <w:sz w:val="20"/>
          <w:szCs w:val="20"/>
        </w:rPr>
        <w:t xml:space="preserve">  </w:t>
      </w:r>
    </w:p>
    <w:p w14:paraId="01A55E74" w14:textId="558D2CC8" w:rsidR="000C28C4" w:rsidRPr="00FC6898" w:rsidRDefault="000C28C4" w:rsidP="00D121F4">
      <w:pPr>
        <w:spacing w:line="360" w:lineRule="auto"/>
        <w:jc w:val="both"/>
        <w:rPr>
          <w:sz w:val="20"/>
          <w:szCs w:val="20"/>
        </w:rPr>
      </w:pPr>
      <w:r w:rsidRPr="00FC6898">
        <w:rPr>
          <w:b/>
          <w:bCs/>
          <w:sz w:val="20"/>
          <w:szCs w:val="20"/>
        </w:rPr>
        <w:t>Figure 11.</w:t>
      </w:r>
      <w:r w:rsidRPr="00FC6898">
        <w:rPr>
          <w:sz w:val="20"/>
          <w:szCs w:val="20"/>
        </w:rPr>
        <w:t xml:space="preserve"> (a) Shaping magnetic field, up/down symmetric, produced by the eight Group-B-PFInt coils, the four upper coils are denominated in this figures, the lower four ones being mirror symmetric across the equatorial plane. (b) Argon centerpost discharge #1037 at I</w:t>
      </w:r>
      <w:r w:rsidR="003C696F" w:rsidRPr="00FC6898">
        <w:rPr>
          <w:sz w:val="20"/>
          <w:szCs w:val="20"/>
          <w:vertAlign w:val="subscript"/>
          <w:lang w:val="en-US"/>
        </w:rPr>
        <w:t>CP</w:t>
      </w:r>
      <w:r w:rsidRPr="00FC6898">
        <w:rPr>
          <w:sz w:val="20"/>
          <w:szCs w:val="20"/>
        </w:rPr>
        <w:t>=10 kA: pictures from 3 cameras (at different azimuthal angles) are superposed. (c) Hydrogen discharge #1010 at I</w:t>
      </w:r>
      <w:r w:rsidR="003C696F" w:rsidRPr="00FC6898">
        <w:rPr>
          <w:sz w:val="20"/>
          <w:szCs w:val="20"/>
          <w:vertAlign w:val="subscript"/>
          <w:lang w:val="en-US"/>
        </w:rPr>
        <w:t>CP</w:t>
      </w:r>
      <w:r w:rsidRPr="00FC6898">
        <w:rPr>
          <w:sz w:val="20"/>
          <w:szCs w:val="20"/>
        </w:rPr>
        <w:t>=10 kA. (d) The electrostatic potential in H discharges at I</w:t>
      </w:r>
      <w:r w:rsidR="003C696F" w:rsidRPr="00FC6898">
        <w:rPr>
          <w:sz w:val="20"/>
          <w:szCs w:val="20"/>
          <w:vertAlign w:val="subscript"/>
          <w:lang w:val="en-US"/>
        </w:rPr>
        <w:t>CP</w:t>
      </w:r>
      <w:r w:rsidRPr="00FC6898">
        <w:rPr>
          <w:sz w:val="20"/>
          <w:szCs w:val="20"/>
        </w:rPr>
        <w:t>=10 kA (shown with different colors) is not up/down antisymmetric, i.e. the plasma charges the Group-B-PFInt coils on the anode side with a different pattern of electric potential with respect to the cathode side.</w:t>
      </w:r>
    </w:p>
    <w:p w14:paraId="6F13D214" w14:textId="74E011C1" w:rsidR="000C28C4" w:rsidRPr="00FC6898" w:rsidRDefault="000C28C4" w:rsidP="00FC6898">
      <w:pPr>
        <w:spacing w:line="408" w:lineRule="auto"/>
        <w:jc w:val="both"/>
      </w:pPr>
      <w:r w:rsidRPr="00FC6898">
        <w:lastRenderedPageBreak/>
        <w:t>The equatorial diameter of the Argon Plasma-Centerpost was 2R</w:t>
      </w:r>
      <w:r w:rsidRPr="00FC6898">
        <w:rPr>
          <w:vertAlign w:val="subscript"/>
        </w:rPr>
        <w:t>sph</w:t>
      </w:r>
      <w:r w:rsidRPr="00FC6898">
        <w:t xml:space="preserve"> ≈ 55 cm. The equatorial line-averaged electron density &lt;n</w:t>
      </w:r>
      <w:r w:rsidRPr="00FC6898">
        <w:rPr>
          <w:vertAlign w:val="subscript"/>
        </w:rPr>
        <w:t>e</w:t>
      </w:r>
      <w:r w:rsidRPr="00FC6898">
        <w:t>&gt; in Argon was measured by a common-path Second-Harmonic-Interferometer (SHI) [</w:t>
      </w:r>
      <w:r w:rsidR="00944E75" w:rsidRPr="00FC6898">
        <w:rPr>
          <w:lang w:val="en-US"/>
        </w:rPr>
        <w:t>36,37</w:t>
      </w:r>
      <w:r w:rsidRPr="00FC6898">
        <w:t>] and exhibited a</w:t>
      </w:r>
      <w:r w:rsidR="00895144" w:rsidRPr="00FC6898">
        <w:rPr>
          <w:lang w:val="en-US"/>
        </w:rPr>
        <w:t>n almost</w:t>
      </w:r>
      <w:r w:rsidRPr="00FC6898">
        <w:t xml:space="preserve"> linear dependence upon the electrode plasma current: &lt;n</w:t>
      </w:r>
      <w:r w:rsidRPr="00FC6898">
        <w:rPr>
          <w:vertAlign w:val="subscript"/>
        </w:rPr>
        <w:t>e</w:t>
      </w:r>
      <w:r w:rsidRPr="00FC6898">
        <w:t xml:space="preserve">&gt; </w:t>
      </w:r>
      <w:r w:rsidRPr="00FC6898">
        <w:sym w:font="Symbol" w:char="F0B5"/>
      </w:r>
      <w:r w:rsidRPr="00FC6898">
        <w:t xml:space="preserve"> I</w:t>
      </w:r>
      <w:r w:rsidR="003C696F" w:rsidRPr="00FC6898">
        <w:rPr>
          <w:vertAlign w:val="subscript"/>
          <w:lang w:val="en-US"/>
        </w:rPr>
        <w:t>CP</w:t>
      </w:r>
      <w:r w:rsidRPr="00FC6898">
        <w:t>, with &lt;n</w:t>
      </w:r>
      <w:r w:rsidRPr="00FC6898">
        <w:rPr>
          <w:vertAlign w:val="subscript"/>
        </w:rPr>
        <w:t>e</w:t>
      </w:r>
      <w:r w:rsidRPr="00FC6898">
        <w:t>&gt; = 4•10</w:t>
      </w:r>
      <w:r w:rsidRPr="00FC6898">
        <w:rPr>
          <w:vertAlign w:val="superscript"/>
        </w:rPr>
        <w:t>20</w:t>
      </w:r>
      <w:r w:rsidRPr="00FC6898">
        <w:t xml:space="preserve"> m</w:t>
      </w:r>
      <w:r w:rsidRPr="00FC6898">
        <w:rPr>
          <w:vertAlign w:val="superscript"/>
        </w:rPr>
        <w:t>-3</w:t>
      </w:r>
      <w:r w:rsidRPr="00FC6898">
        <w:t xml:space="preserve"> at I</w:t>
      </w:r>
      <w:r w:rsidR="003C696F" w:rsidRPr="00FC6898">
        <w:rPr>
          <w:vertAlign w:val="subscript"/>
          <w:lang w:val="en-US"/>
        </w:rPr>
        <w:t>CP</w:t>
      </w:r>
      <w:r w:rsidRPr="00FC6898">
        <w:t xml:space="preserve">=10 kA. </w:t>
      </w:r>
    </w:p>
    <w:p w14:paraId="666F3AC8" w14:textId="77777777" w:rsidR="000C28C4" w:rsidRPr="00F2105F" w:rsidRDefault="000C28C4" w:rsidP="00D121F4">
      <w:pPr>
        <w:spacing w:line="408" w:lineRule="auto"/>
        <w:ind w:firstLine="284"/>
        <w:jc w:val="both"/>
        <w:rPr>
          <w:rFonts w:ascii="Times" w:hAnsi="Times"/>
        </w:rPr>
      </w:pPr>
      <w:r w:rsidRPr="00FC6898">
        <w:t>As the magnetic field lines start from and end upon electrodes the Plasma-Centerpost temperature cannot be larger than a few eV; it was determined by Langmuir probe measurements only at the edge of the anodic mushroom-shaped plasma: the local electron temperature was measured to range from 2 to 8 eV, correspondingly the local electron plasma density ranging from n</w:t>
      </w:r>
      <w:r w:rsidRPr="00FC6898">
        <w:rPr>
          <w:vertAlign w:val="subscript"/>
        </w:rPr>
        <w:t>e</w:t>
      </w:r>
      <w:r w:rsidRPr="00FC6898">
        <w:t xml:space="preserve"> = 5•10</w:t>
      </w:r>
      <w:r w:rsidRPr="00FC6898">
        <w:rPr>
          <w:vertAlign w:val="superscript"/>
        </w:rPr>
        <w:t>19</w:t>
      </w:r>
      <w:r w:rsidRPr="00FC6898">
        <w:t xml:space="preserve"> m</w:t>
      </w:r>
      <w:r w:rsidRPr="00FC6898">
        <w:rPr>
          <w:vertAlign w:val="superscript"/>
        </w:rPr>
        <w:t>-3</w:t>
      </w:r>
      <w:r w:rsidRPr="00FC6898">
        <w:t xml:space="preserve"> to n</w:t>
      </w:r>
      <w:r w:rsidRPr="00FC6898">
        <w:rPr>
          <w:vertAlign w:val="subscript"/>
        </w:rPr>
        <w:t>e</w:t>
      </w:r>
      <w:r w:rsidRPr="00FC6898">
        <w:t xml:space="preserve"> = 2•10</w:t>
      </w:r>
      <w:r w:rsidRPr="00FC6898">
        <w:rPr>
          <w:vertAlign w:val="superscript"/>
        </w:rPr>
        <w:t>19</w:t>
      </w:r>
      <w:r w:rsidRPr="00FC6898">
        <w:t xml:space="preserve"> m</w:t>
      </w:r>
      <w:r w:rsidRPr="00FC6898">
        <w:rPr>
          <w:vertAlign w:val="superscript"/>
        </w:rPr>
        <w:t>-3</w:t>
      </w:r>
      <w:r w:rsidRPr="00FC6898">
        <w:t>.</w:t>
      </w:r>
      <w:r w:rsidRPr="00F2105F">
        <w:rPr>
          <w:rFonts w:ascii="Times" w:hAnsi="Times"/>
          <w:i/>
          <w:noProof/>
          <w:kern w:val="24"/>
          <w:lang w:eastAsia="en-GB"/>
        </w:rPr>
        <w:t xml:space="preserve"> </w:t>
      </w:r>
      <w:r w:rsidRPr="00F2105F">
        <w:rPr>
          <w:rFonts w:ascii="Times" w:hAnsi="Times"/>
          <w:i/>
          <w:noProof/>
          <w:kern w:val="24"/>
          <w:lang w:eastAsia="en-GB"/>
        </w:rPr>
        <mc:AlternateContent>
          <mc:Choice Requires="wps">
            <w:drawing>
              <wp:anchor distT="0" distB="0" distL="114300" distR="114300" simplePos="0" relativeHeight="251664384" behindDoc="0" locked="0" layoutInCell="1" allowOverlap="1" wp14:anchorId="56BD1755" wp14:editId="2F34F970">
                <wp:simplePos x="0" y="0"/>
                <wp:positionH relativeFrom="column">
                  <wp:posOffset>130810</wp:posOffset>
                </wp:positionH>
                <wp:positionV relativeFrom="paragraph">
                  <wp:posOffset>1684655</wp:posOffset>
                </wp:positionV>
                <wp:extent cx="282575" cy="31559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7C3AB" w14:textId="77777777" w:rsidR="000C28C4" w:rsidRPr="008472A8" w:rsidRDefault="000C28C4" w:rsidP="009E4CB3">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BD1755" id="Text Box 26" o:spid="_x0000_s1030" type="#_x0000_t202" style="position:absolute;left:0;text-align:left;margin-left:10.3pt;margin-top:132.65pt;width:22.25pt;height:2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hw77k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" filled="f" stroked="f">
                <v:textbox>
                  <w:txbxContent>
                    <w:p w14:paraId="2337C3AB" w14:textId="77777777" w:rsidR="000C28C4" w:rsidRPr="008472A8" w:rsidRDefault="000C28C4" w:rsidP="009E4CB3">
                      <w:pPr>
                        <w:rPr>
                          <w:b/>
                        </w:rPr>
                      </w:pPr>
                      <w:r w:rsidRPr="008472A8">
                        <w:rPr>
                          <w:b/>
                        </w:rPr>
                        <w:t>a</w:t>
                      </w:r>
                    </w:p>
                  </w:txbxContent>
                </v:textbox>
              </v:shape>
            </w:pict>
          </mc:Fallback>
        </mc:AlternateContent>
      </w:r>
    </w:p>
    <w:p w14:paraId="542EEBB0" w14:textId="77777777" w:rsidR="000C28C4" w:rsidRPr="00F2105F" w:rsidRDefault="000C28C4" w:rsidP="009E4CB3">
      <w:pPr>
        <w:jc w:val="both"/>
        <w:rPr>
          <w:rFonts w:ascii="Times" w:hAnsi="Times"/>
          <w:i/>
        </w:rPr>
      </w:pPr>
    </w:p>
    <w:p w14:paraId="2714A165" w14:textId="77777777" w:rsidR="000C28C4" w:rsidRPr="00F2105F" w:rsidRDefault="000C28C4" w:rsidP="009E4CB3">
      <w:pPr>
        <w:jc w:val="both"/>
        <w:rPr>
          <w:i/>
        </w:rPr>
      </w:pPr>
      <w:r w:rsidRPr="00F2105F">
        <w:rPr>
          <w:i/>
          <w:noProof/>
          <w:kern w:val="24"/>
          <w:lang w:eastAsia="en-GB"/>
        </w:rPr>
        <mc:AlternateContent>
          <mc:Choice Requires="wps">
            <w:drawing>
              <wp:anchor distT="0" distB="0" distL="114300" distR="114300" simplePos="0" relativeHeight="251663360" behindDoc="0" locked="0" layoutInCell="1" allowOverlap="1" wp14:anchorId="1E520433" wp14:editId="4B77C915">
                <wp:simplePos x="0" y="0"/>
                <wp:positionH relativeFrom="column">
                  <wp:posOffset>131210</wp:posOffset>
                </wp:positionH>
                <wp:positionV relativeFrom="paragraph">
                  <wp:posOffset>1625600</wp:posOffset>
                </wp:positionV>
                <wp:extent cx="282575" cy="31559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A4905" w14:textId="77777777" w:rsidR="000C28C4" w:rsidRPr="008472A8" w:rsidRDefault="000C28C4" w:rsidP="009E4CB3">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520433" id="Text Box 28" o:spid="_x0000_s1031" type="#_x0000_t202" style="position:absolute;left:0;text-align:left;margin-left:10.35pt;margin-top:128pt;width:22.2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96NZ7g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" filled="f" stroked="f">
                <v:textbox>
                  <w:txbxContent>
                    <w:p w14:paraId="2D5A4905" w14:textId="77777777" w:rsidR="000C28C4" w:rsidRPr="008472A8" w:rsidRDefault="000C28C4" w:rsidP="009E4CB3">
                      <w:pPr>
                        <w:rPr>
                          <w:b/>
                        </w:rPr>
                      </w:pPr>
                      <w:r>
                        <w:rPr>
                          <w:b/>
                        </w:rPr>
                        <w:t>b</w:t>
                      </w:r>
                    </w:p>
                  </w:txbxContent>
                </v:textbox>
              </v:shape>
            </w:pict>
          </mc:Fallback>
        </mc:AlternateContent>
      </w:r>
      <w:r w:rsidRPr="00F2105F">
        <w:rPr>
          <w:i/>
          <w:noProof/>
          <w:lang w:eastAsia="en-GB"/>
        </w:rPr>
        <w:drawing>
          <wp:inline distT="0" distB="0" distL="0" distR="0" wp14:anchorId="4D69F914" wp14:editId="758554EC">
            <wp:extent cx="6116320" cy="148907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Argon-Correnti_Rgw.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6320" cy="1489075"/>
                    </a:xfrm>
                    <a:prstGeom prst="rect">
                      <a:avLst/>
                    </a:prstGeom>
                  </pic:spPr>
                </pic:pic>
              </a:graphicData>
            </a:graphic>
          </wp:inline>
        </w:drawing>
      </w:r>
    </w:p>
    <w:p w14:paraId="5D806D17" w14:textId="77777777" w:rsidR="000C28C4" w:rsidRPr="00F2105F" w:rsidRDefault="000C28C4" w:rsidP="009E4CB3">
      <w:pPr>
        <w:jc w:val="both"/>
        <w:rPr>
          <w:i/>
          <w:sz w:val="10"/>
          <w:szCs w:val="10"/>
        </w:rPr>
      </w:pPr>
    </w:p>
    <w:p w14:paraId="22E5FD8C" w14:textId="77777777" w:rsidR="000C28C4" w:rsidRPr="00F2105F" w:rsidRDefault="000C28C4" w:rsidP="009E4CB3">
      <w:pPr>
        <w:jc w:val="both"/>
        <w:rPr>
          <w:i/>
          <w:sz w:val="20"/>
          <w:szCs w:val="20"/>
        </w:rPr>
      </w:pPr>
      <w:r w:rsidRPr="00F2105F">
        <w:rPr>
          <w:i/>
          <w:noProof/>
          <w:lang w:eastAsia="en-GB"/>
        </w:rPr>
        <w:drawing>
          <wp:inline distT="0" distB="0" distL="0" distR="0" wp14:anchorId="1717C7B7" wp14:editId="06557334">
            <wp:extent cx="6116320" cy="1384300"/>
            <wp:effectExtent l="0" t="0" r="508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Idrogeno-Correnti_Rgw.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6320" cy="1384300"/>
                    </a:xfrm>
                    <a:prstGeom prst="rect">
                      <a:avLst/>
                    </a:prstGeom>
                  </pic:spPr>
                </pic:pic>
              </a:graphicData>
            </a:graphic>
          </wp:inline>
        </w:drawing>
      </w:r>
    </w:p>
    <w:p w14:paraId="5783EBC4" w14:textId="77777777" w:rsidR="00FC6898" w:rsidRPr="00FC6898" w:rsidRDefault="00FC6898" w:rsidP="009E4CB3">
      <w:pPr>
        <w:spacing w:line="360" w:lineRule="auto"/>
        <w:jc w:val="both"/>
        <w:rPr>
          <w:b/>
          <w:bCs/>
          <w:sz w:val="20"/>
          <w:szCs w:val="20"/>
        </w:rPr>
      </w:pPr>
    </w:p>
    <w:p w14:paraId="6C3CB6CD" w14:textId="77777777" w:rsidR="000C28C4" w:rsidRPr="00FC6898" w:rsidRDefault="000C28C4" w:rsidP="009E4CB3">
      <w:pPr>
        <w:spacing w:line="360" w:lineRule="auto"/>
        <w:jc w:val="both"/>
        <w:rPr>
          <w:sz w:val="20"/>
          <w:szCs w:val="20"/>
        </w:rPr>
      </w:pPr>
      <w:r w:rsidRPr="00FC6898">
        <w:rPr>
          <w:b/>
          <w:bCs/>
          <w:sz w:val="20"/>
          <w:szCs w:val="20"/>
        </w:rPr>
        <w:t>Figure 12.</w:t>
      </w:r>
      <w:r w:rsidRPr="00FC6898">
        <w:rPr>
          <w:sz w:val="20"/>
          <w:szCs w:val="20"/>
        </w:rPr>
        <w:t xml:space="preserve"> (a) Argon discharge #1037 at I</w:t>
      </w:r>
      <w:r w:rsidRPr="00FC6898">
        <w:rPr>
          <w:sz w:val="20"/>
          <w:szCs w:val="20"/>
          <w:vertAlign w:val="subscript"/>
        </w:rPr>
        <w:t>e</w:t>
      </w:r>
      <w:r w:rsidRPr="00FC6898">
        <w:rPr>
          <w:sz w:val="20"/>
          <w:szCs w:val="20"/>
        </w:rPr>
        <w:t>=10 kA: waveforms of I</w:t>
      </w:r>
      <w:r w:rsidRPr="00FC6898">
        <w:rPr>
          <w:sz w:val="20"/>
          <w:szCs w:val="20"/>
          <w:vertAlign w:val="subscript"/>
        </w:rPr>
        <w:t>CP</w:t>
      </w:r>
      <w:r w:rsidRPr="00FC6898">
        <w:rPr>
          <w:sz w:val="20"/>
          <w:szCs w:val="20"/>
        </w:rPr>
        <w:t xml:space="preserve"> the plasma centerpost current as measured on the power supply and on the return bars of the machine (by Hall sensors) compared with the traces of two in-vessel Rogowski sensors. (b) Hydrogen discharge #1010 at I</w:t>
      </w:r>
      <w:r w:rsidRPr="00FC6898">
        <w:rPr>
          <w:sz w:val="20"/>
          <w:szCs w:val="20"/>
          <w:vertAlign w:val="subscript"/>
        </w:rPr>
        <w:t>e</w:t>
      </w:r>
      <w:r w:rsidRPr="00FC6898">
        <w:rPr>
          <w:sz w:val="20"/>
          <w:szCs w:val="20"/>
        </w:rPr>
        <w:t>=10 kA: waveforms of the plasma centerpost current as measured on the power supply and on the return bars of the machine (by Hall sensors) compared with the trace of one in-vessel Rogowski sensor.</w:t>
      </w:r>
    </w:p>
    <w:p w14:paraId="703DD998" w14:textId="77777777" w:rsidR="000C28C4" w:rsidRPr="00FC6898" w:rsidRDefault="000C28C4" w:rsidP="009E4CB3">
      <w:pPr>
        <w:spacing w:line="408" w:lineRule="auto"/>
        <w:jc w:val="both"/>
      </w:pPr>
    </w:p>
    <w:p w14:paraId="0FD197A1" w14:textId="214C8077" w:rsidR="000C28C4" w:rsidRPr="00FC6898" w:rsidRDefault="000C28C4" w:rsidP="009E4CB3">
      <w:pPr>
        <w:spacing w:line="360" w:lineRule="auto"/>
        <w:ind w:firstLine="284"/>
        <w:jc w:val="both"/>
        <w:rPr>
          <w:i/>
        </w:rPr>
      </w:pPr>
      <w:r w:rsidRPr="00FC6898">
        <w:t>Hydrogen as well has no interest for Controlled Fusion [</w:t>
      </w:r>
      <w:r w:rsidR="00944E75" w:rsidRPr="00FC6898">
        <w:rPr>
          <w:lang w:val="en-US"/>
        </w:rPr>
        <w:t>38</w:t>
      </w:r>
      <w:r w:rsidRPr="00FC6898">
        <w:t xml:space="preserve">], but it is highly indicative of the behavior of the Deuterium that will be used in Phase-2 of the experiment. The 10 kA Plasma-Centerpost in Hydrogen was also obtained in January 2018, see figure </w:t>
      </w:r>
      <w:r w:rsidRPr="00FC6898">
        <w:rPr>
          <w:color w:val="4F81BD" w:themeColor="accent1"/>
        </w:rPr>
        <w:t>11</w:t>
      </w:r>
      <w:r w:rsidRPr="00FC6898">
        <w:t xml:space="preserve">(c) and </w:t>
      </w:r>
      <w:r w:rsidRPr="00FC6898">
        <w:rPr>
          <w:color w:val="0070C0"/>
        </w:rPr>
        <w:t>12</w:t>
      </w:r>
      <w:r w:rsidRPr="00FC6898">
        <w:t>(b), its break-down voltage was ≈320 V and the electrode plasma current I</w:t>
      </w:r>
      <w:r w:rsidRPr="00FC6898">
        <w:rPr>
          <w:vertAlign w:val="subscript"/>
        </w:rPr>
        <w:t>CP</w:t>
      </w:r>
      <w:r w:rsidRPr="00FC6898">
        <w:t xml:space="preserve"> was sustained for 1 second at 10 kA while the anode-to-cathode voltage decreased to ≈220 V.</w:t>
      </w:r>
      <w:r w:rsidRPr="00FC6898">
        <w:rPr>
          <w:iCs/>
        </w:rPr>
        <w:t xml:space="preserve"> </w:t>
      </w:r>
      <w:r w:rsidRPr="00FC6898">
        <w:t xml:space="preserve">The equatorial diameter of the Hydrogen </w:t>
      </w:r>
      <w:r w:rsidRPr="00FC6898">
        <w:lastRenderedPageBreak/>
        <w:t>Plasma-Centerpost was 2R</w:t>
      </w:r>
      <w:r w:rsidRPr="00FC6898">
        <w:rPr>
          <w:vertAlign w:val="subscript"/>
        </w:rPr>
        <w:t>sph</w:t>
      </w:r>
      <w:r w:rsidRPr="00FC6898">
        <w:t>≈75 cm, larger than in Argon plasma. The equatorial line-averaged electron density &lt;n</w:t>
      </w:r>
      <w:r w:rsidRPr="00FC6898">
        <w:rPr>
          <w:vertAlign w:val="subscript"/>
        </w:rPr>
        <w:t>e</w:t>
      </w:r>
      <w:r w:rsidRPr="00FC6898">
        <w:t>&gt; of the Hydrogen Plasma-Centerpost was &lt;n</w:t>
      </w:r>
      <w:r w:rsidRPr="00FC6898">
        <w:rPr>
          <w:vertAlign w:val="subscript"/>
        </w:rPr>
        <w:t>e</w:t>
      </w:r>
      <w:r w:rsidRPr="00FC6898">
        <w:t>&gt;≈1.0•10</w:t>
      </w:r>
      <w:r w:rsidRPr="00FC6898">
        <w:rPr>
          <w:vertAlign w:val="superscript"/>
        </w:rPr>
        <w:t>20</w:t>
      </w:r>
      <w:r w:rsidRPr="00FC6898">
        <w:t xml:space="preserve"> m</w:t>
      </w:r>
      <w:r w:rsidRPr="00FC6898">
        <w:rPr>
          <w:vertAlign w:val="superscript"/>
        </w:rPr>
        <w:t xml:space="preserve">-3 </w:t>
      </w:r>
      <w:r w:rsidRPr="00FC6898">
        <w:t>at I</w:t>
      </w:r>
      <w:r w:rsidR="003C696F" w:rsidRPr="00FC6898">
        <w:rPr>
          <w:vertAlign w:val="subscript"/>
          <w:lang w:val="en-US"/>
        </w:rPr>
        <w:t>CP</w:t>
      </w:r>
      <w:r w:rsidRPr="00FC6898">
        <w:t>=10 kA, lower than in Argon plasma. Preliminary results of spectroscopic observations [</w:t>
      </w:r>
      <w:r w:rsidR="00944E75" w:rsidRPr="00FC6898">
        <w:rPr>
          <w:lang w:val="en-US"/>
        </w:rPr>
        <w:t>39</w:t>
      </w:r>
      <w:r w:rsidRPr="00FC6898">
        <w:t xml:space="preserve">] on the plasma equator indicate that in Hydrogen discharges the visible spectrum did show only Hydrogen lines, whereas the UV spectrum did show limited amounts of metallic impurities; this was presumably due to the fact that the two PF2 mirror coils – see figure </w:t>
      </w:r>
      <w:r w:rsidRPr="00FC6898">
        <w:rPr>
          <w:color w:val="4F81BD" w:themeColor="accent1"/>
        </w:rPr>
        <w:t>11</w:t>
      </w:r>
      <w:r w:rsidRPr="00FC6898">
        <w:t xml:space="preserve">(b) and </w:t>
      </w:r>
      <w:r w:rsidRPr="00FC6898">
        <w:rPr>
          <w:color w:val="4F81BD" w:themeColor="accent1"/>
        </w:rPr>
        <w:t>11</w:t>
      </w:r>
      <w:r w:rsidRPr="00FC6898">
        <w:t>(c) – act as effective impurity separators for the plasma (anode, cathode and main plasma). Both Argon and Hydrogen Plasma-Centerpost discharges were sustained as long as the anode-to-cathode voltage was applied. The much-feared anode arc-anchoring of the plasma [</w:t>
      </w:r>
      <w:r w:rsidR="00944E75" w:rsidRPr="00FC6898">
        <w:rPr>
          <w:lang w:val="en-US"/>
        </w:rPr>
        <w:t>40,41</w:t>
      </w:r>
      <w:r w:rsidRPr="00FC6898">
        <w:t>] (i.e. the discharge concentrating upon a restricted anode spot, and inflicting local damage) never occurred; the explanation resides in the rotation of the Plasma-Centerpost in the azimuthal (toroidal direction), which is evident from the visible light movies collected by a 3600 fps fast camera.</w:t>
      </w:r>
    </w:p>
    <w:p w14:paraId="76B2B541" w14:textId="0B80BF70" w:rsidR="000C28C4" w:rsidRPr="00FC6898" w:rsidRDefault="000C28C4" w:rsidP="00D121F4">
      <w:pPr>
        <w:spacing w:line="360" w:lineRule="auto"/>
        <w:ind w:firstLine="284"/>
        <w:jc w:val="both"/>
        <w:rPr>
          <w:strike/>
        </w:rPr>
      </w:pPr>
      <w:r w:rsidRPr="00FC6898">
        <w:t xml:space="preserve">The Plasma-Centerpost rotates approximately at an angular frequency </w:t>
      </w:r>
      <w:r w:rsidRPr="00F2105F">
        <w:rPr>
          <w:rFonts w:ascii="Symbol" w:hAnsi="Symbol"/>
        </w:rPr>
        <w:t></w:t>
      </w:r>
      <w:r w:rsidRPr="00F2105F">
        <w:rPr>
          <w:rFonts w:ascii="Symbol" w:hAnsi="Symbol"/>
        </w:rPr>
        <w:t></w:t>
      </w:r>
      <w:r w:rsidRPr="00F2105F">
        <w:rPr>
          <w:rFonts w:ascii="Symbol" w:hAnsi="Symbol"/>
        </w:rPr>
        <w:t></w:t>
      </w:r>
      <w:r w:rsidRPr="00F2105F">
        <w:rPr>
          <w:rFonts w:ascii="Symbol" w:hAnsi="Symbol"/>
        </w:rPr>
        <w:t></w:t>
      </w:r>
      <w:r w:rsidRPr="00F2105F">
        <w:t>•</w:t>
      </w:r>
      <w:r w:rsidRPr="00F2105F">
        <w:rPr>
          <w:rFonts w:ascii="Symbol" w:hAnsi="Symbol"/>
        </w:rPr>
        <w:t></w:t>
      </w:r>
      <w:r w:rsidRPr="00F2105F">
        <w:rPr>
          <w:rFonts w:ascii="Symbol" w:hAnsi="Symbol"/>
        </w:rPr>
        <w:t></w:t>
      </w:r>
      <w:r w:rsidRPr="00F2105F">
        <w:rPr>
          <w:rFonts w:ascii="Symbol" w:hAnsi="Symbol"/>
          <w:vertAlign w:val="superscript"/>
        </w:rPr>
        <w:t></w:t>
      </w:r>
      <w:r w:rsidRPr="00F2105F">
        <w:rPr>
          <w:rFonts w:ascii="Symbol" w:hAnsi="Symbol"/>
          <w:vertAlign w:val="superscript"/>
        </w:rPr>
        <w:t></w:t>
      </w:r>
      <w:r w:rsidRPr="00FC6898">
        <w:t>radians/sec.</w:t>
      </w:r>
      <w:r w:rsidRPr="00F2105F">
        <w:rPr>
          <w:rFonts w:ascii="Times" w:hAnsi="Times"/>
        </w:rPr>
        <w:t xml:space="preserve"> </w:t>
      </w:r>
      <w:r w:rsidRPr="00FC6898">
        <w:t xml:space="preserve">The cause of such a rotation appears to be the electrostatic charging of the PF coils casings by the plasma: all the 8 Group-B-PFInt coils inside the vacuum vessel reach different floating electric potentials; figure </w:t>
      </w:r>
      <w:r w:rsidRPr="00FC6898">
        <w:rPr>
          <w:color w:val="4F81BD" w:themeColor="accent1"/>
        </w:rPr>
        <w:t>11</w:t>
      </w:r>
      <w:r w:rsidRPr="00FC6898">
        <w:t>(a) indicates the names of the Group-B-PFInt coils. As previously mentioned, also the top part of the vessel (an AISI304 ferrule-and-lid) and its bottom symmetrical ferrule-and-lid were insulated and left floating from the Aluminum middle vessel, which was grounded for safety reasons. The PF coils casings were all left floating, as this was the best way to avoid spurious secondary discharges. In Hydrogen plasma at 10 kA, the anode (top) was charged to +140 V while the cathode (bottom) only at -80 V, the top ferrule-and-lid at +95 V while the bottom ferrule-and-lid at only -55 V, the two PF4 coils (plasma-nozzle-coils</w:t>
      </w:r>
      <w:r w:rsidRPr="00FC6898">
        <w:rPr>
          <w:kern w:val="24"/>
        </w:rPr>
        <w:t xml:space="preserve">) </w:t>
      </w:r>
      <w:r w:rsidRPr="00FC6898">
        <w:t xml:space="preserve">to +50 V on top and only to -10 V on bottom and the PF2\3 coils (mirror-coils) to +95 V on top and only to -40 V on bottom. The </w:t>
      </w:r>
      <w:r w:rsidRPr="00FC6898">
        <w:rPr>
          <w:b/>
        </w:rPr>
        <w:t>E</w:t>
      </w:r>
      <w:r w:rsidRPr="00FC6898">
        <w:sym w:font="Symbol" w:char="F0D9"/>
      </w:r>
      <w:r w:rsidRPr="00FC6898">
        <w:rPr>
          <w:b/>
        </w:rPr>
        <w:t>B</w:t>
      </w:r>
      <w:r w:rsidRPr="00FC6898">
        <w:t xml:space="preserve"> drift of the plasma, that would have been opposite in the anode and cathode region, was therefore not compensated: the top anode has </w:t>
      </w:r>
      <w:r w:rsidRPr="00470D26">
        <w:t>been calculated</w:t>
      </w:r>
      <w:r w:rsidRPr="00FC6898">
        <w:t>,</w:t>
      </w:r>
      <w:r w:rsidRPr="00FC6898">
        <w:rPr>
          <w:sz w:val="22"/>
          <w:szCs w:val="22"/>
        </w:rPr>
        <w:t xml:space="preserve"> </w:t>
      </w:r>
      <w:r w:rsidRPr="00FC6898">
        <w:t xml:space="preserve">by a simple electrostatic code </w:t>
      </w:r>
      <w:r w:rsidRPr="00FC6898">
        <w:rPr>
          <w:sz w:val="22"/>
          <w:szCs w:val="22"/>
        </w:rPr>
        <w:t>[</w:t>
      </w:r>
      <w:r w:rsidR="00611F8B" w:rsidRPr="00FC6898">
        <w:rPr>
          <w:sz w:val="22"/>
          <w:szCs w:val="22"/>
          <w:lang w:val="en-US"/>
        </w:rPr>
        <w:t>42</w:t>
      </w:r>
      <w:r w:rsidRPr="00FC6898">
        <w:rPr>
          <w:sz w:val="22"/>
          <w:szCs w:val="22"/>
        </w:rPr>
        <w:t>]</w:t>
      </w:r>
      <w:r w:rsidRPr="00FC6898">
        <w:t xml:space="preserve">, to have the larger electrostatic field, see figure </w:t>
      </w:r>
      <w:r w:rsidRPr="00FC6898">
        <w:rPr>
          <w:color w:val="0070C0"/>
        </w:rPr>
        <w:t>11</w:t>
      </w:r>
      <w:r w:rsidRPr="00FC6898">
        <w:t>(d), and apparently dictated the direction of the net plasma rotation. As the internal magnetic field pointed upwards, while the electrostatic field went downwards, from anode to cathode, the net plasma rotation was clockwise (as seen from the top of the machine).</w:t>
      </w:r>
    </w:p>
    <w:p w14:paraId="40E0808A" w14:textId="77777777" w:rsidR="000C28C4" w:rsidRPr="00FC6898" w:rsidRDefault="000C28C4" w:rsidP="00D121F4">
      <w:pPr>
        <w:adjustRightInd w:val="0"/>
        <w:spacing w:line="360" w:lineRule="auto"/>
        <w:ind w:firstLine="284"/>
        <w:jc w:val="both"/>
        <w:rPr>
          <w:noProof/>
          <w:lang w:val="en-US"/>
        </w:rPr>
      </w:pPr>
      <w:r w:rsidRPr="00FC6898">
        <w:rPr>
          <w:noProof/>
          <w:lang w:val="en-US"/>
        </w:rPr>
        <w:t xml:space="preserve">The aims of Phase-1 of the PROTO-SPHERA experiment (10 kA Plasma Centerpost in Hydrogen [3]) had therefore been fulfilled, by introducing a variety of insulating materials. It is remarkable that after the full current Argon plasma centerpost was obtained, the Hydrogen plasma centerpost was immediately produced and </w:t>
      </w:r>
      <w:r w:rsidRPr="00FC6898">
        <w:t xml:space="preserve">sustained for 1 sec </w:t>
      </w:r>
      <w:r w:rsidRPr="00FC6898">
        <w:rPr>
          <w:noProof/>
          <w:lang w:val="en-US"/>
        </w:rPr>
        <w:t>at the full level of 10 kA.</w:t>
      </w:r>
    </w:p>
    <w:p w14:paraId="7FB006C5" w14:textId="77777777" w:rsidR="000C28C4" w:rsidRPr="003028C1" w:rsidRDefault="000C28C4" w:rsidP="00D121F4">
      <w:pPr>
        <w:pStyle w:val="Heading1"/>
        <w:jc w:val="both"/>
        <w:rPr>
          <w:rFonts w:ascii="Times New Roman" w:hAnsi="Times New Roman" w:cs="Times New Roman"/>
          <w:noProof/>
          <w:color w:val="000000" w:themeColor="text1"/>
          <w:sz w:val="24"/>
          <w:szCs w:val="24"/>
          <w:lang w:val="en-US"/>
        </w:rPr>
      </w:pPr>
      <w:r w:rsidRPr="003028C1">
        <w:rPr>
          <w:rFonts w:ascii="Times New Roman" w:hAnsi="Times New Roman" w:cs="Times New Roman"/>
          <w:noProof/>
          <w:color w:val="000000" w:themeColor="text1"/>
          <w:sz w:val="24"/>
          <w:szCs w:val="24"/>
          <w:lang w:val="en-US"/>
        </w:rPr>
        <w:lastRenderedPageBreak/>
        <w:t>First evidences of plasma torus formation and sustainement</w:t>
      </w:r>
    </w:p>
    <w:p w14:paraId="1F00AF33" w14:textId="77777777" w:rsidR="000C28C4" w:rsidRPr="00611F8B" w:rsidRDefault="000C28C4" w:rsidP="00D121F4">
      <w:pPr>
        <w:jc w:val="both"/>
        <w:rPr>
          <w:lang w:val="en-US"/>
        </w:rPr>
      </w:pPr>
    </w:p>
    <w:p w14:paraId="784E0646" w14:textId="784B8B07" w:rsidR="000C28C4" w:rsidRPr="003028C1" w:rsidRDefault="000C28C4" w:rsidP="00D121F4">
      <w:pPr>
        <w:pStyle w:val="NormalWeb"/>
        <w:spacing w:before="0" w:beforeAutospacing="0" w:after="0" w:afterAutospacing="0" w:line="360" w:lineRule="auto"/>
        <w:jc w:val="both"/>
        <w:rPr>
          <w:rFonts w:eastAsiaTheme="minorEastAsia"/>
          <w:color w:val="000000" w:themeColor="text1"/>
          <w:kern w:val="24"/>
          <w:lang w:val="en-US"/>
        </w:rPr>
      </w:pPr>
      <w:r w:rsidRPr="003028C1">
        <w:rPr>
          <w:lang w:val="en-US"/>
        </w:rPr>
        <w:t xml:space="preserve">Before moving to the final Phase-2 of the experiment, the first attempts to obtain the plasma tori were performed already in the first months of 2018. </w:t>
      </w:r>
      <w:r w:rsidRPr="003028C1">
        <w:t>The four magnetic vertical field coils, the PFExt coils  wound around the vacuum chamber – see figure</w:t>
      </w:r>
      <w:r w:rsidRPr="003028C1">
        <w:rPr>
          <w:color w:val="4F81BD" w:themeColor="accent1"/>
        </w:rPr>
        <w:t xml:space="preserve"> 2</w:t>
      </w:r>
      <w:r w:rsidRPr="003028C1">
        <w:t xml:space="preserve">(b) –, were fed in series with the Group-B-PFInt internal coil – see figure </w:t>
      </w:r>
      <w:r w:rsidRPr="003028C1">
        <w:rPr>
          <w:color w:val="4F81BD" w:themeColor="accent1"/>
        </w:rPr>
        <w:t>2</w:t>
      </w:r>
      <w:r w:rsidRPr="003028C1">
        <w:t xml:space="preserve">(c) – </w:t>
      </w:r>
      <w:r w:rsidRPr="003028C1">
        <w:rPr>
          <w:lang w:val="en-US"/>
        </w:rPr>
        <w:t xml:space="preserve">with electric currents such that direction of the magnetic field inside the equatorial PFExt coils was opposite to the direction of the magnetic field inside the plasma centerpost discharge, see figure </w:t>
      </w:r>
      <w:r w:rsidRPr="003028C1">
        <w:rPr>
          <w:color w:val="0070C0"/>
          <w:lang w:val="en-US"/>
        </w:rPr>
        <w:t>13</w:t>
      </w:r>
      <w:r w:rsidRPr="003028C1">
        <w:rPr>
          <w:lang w:val="en-US"/>
        </w:rPr>
        <w:t xml:space="preserve">(a), </w:t>
      </w:r>
      <w:r w:rsidRPr="003028C1">
        <w:t xml:space="preserve">but no further modifications were introduced in the machine. The first tori were obtained in Argon plasma. </w:t>
      </w:r>
      <w:r w:rsidRPr="003028C1">
        <w:rPr>
          <w:lang w:val="en-US"/>
        </w:rPr>
        <w:t xml:space="preserve">The predictive plasma equilibrium calculated under the assumption that </w:t>
      </w:r>
      <w:r w:rsidRPr="003028C1">
        <w:rPr>
          <w:rFonts w:eastAsiaTheme="minorEastAsia"/>
          <w:color w:val="000000" w:themeColor="text1"/>
          <w:kern w:val="24"/>
          <w:lang w:val="en-US"/>
        </w:rPr>
        <w:t xml:space="preserve">the torus does not appear, exhibit for </w:t>
      </w:r>
      <w:r w:rsidRPr="003028C1">
        <w:rPr>
          <w:lang w:val="en-US"/>
        </w:rPr>
        <w:t xml:space="preserve">the </w:t>
      </w:r>
      <w:r w:rsidRPr="003028C1">
        <w:rPr>
          <w:rFonts w:eastAsiaTheme="minorEastAsia"/>
          <w:color w:val="000000" w:themeColor="text1"/>
          <w:kern w:val="24"/>
          <w:lang w:val="en-US"/>
        </w:rPr>
        <w:t>Plasma-Centerpost a single circle of ordinary X-points (B</w:t>
      </w:r>
      <w:r w:rsidRPr="003028C1">
        <w:rPr>
          <w:rFonts w:eastAsiaTheme="minorEastAsia"/>
          <w:color w:val="000000" w:themeColor="text1"/>
          <w:kern w:val="24"/>
          <w:position w:val="-8"/>
          <w:vertAlign w:val="subscript"/>
          <w:lang w:val="en-US"/>
        </w:rPr>
        <w:t>pol</w:t>
      </w:r>
      <w:r w:rsidRPr="003028C1">
        <w:rPr>
          <w:rFonts w:eastAsiaTheme="minorEastAsia"/>
          <w:color w:val="000000" w:themeColor="text1"/>
          <w:kern w:val="24"/>
          <w:lang w:val="en-US"/>
        </w:rPr>
        <w:t xml:space="preserve">=0) on equator, as in figure </w:t>
      </w:r>
      <w:r w:rsidR="00E16CC7" w:rsidRPr="003028C1">
        <w:rPr>
          <w:rFonts w:eastAsiaTheme="minorEastAsia"/>
          <w:color w:val="0070C0"/>
          <w:kern w:val="24"/>
          <w:lang w:val="en-US"/>
        </w:rPr>
        <w:t>13</w:t>
      </w:r>
      <w:r w:rsidRPr="003028C1">
        <w:rPr>
          <w:rFonts w:eastAsiaTheme="minorEastAsia"/>
          <w:color w:val="000000" w:themeColor="text1"/>
          <w:kern w:val="24"/>
          <w:lang w:val="en-US"/>
        </w:rPr>
        <w:t>(a); in the experiment, if the</w:t>
      </w:r>
      <w:r w:rsidRPr="003028C1">
        <w:t xml:space="preserve"> </w:t>
      </w:r>
      <w:r w:rsidRPr="003028C1">
        <w:rPr>
          <w:lang w:val="en-US"/>
        </w:rPr>
        <w:t xml:space="preserve">Argon </w:t>
      </w:r>
      <w:r w:rsidRPr="003028C1">
        <w:t>centerpost discharge</w:t>
      </w:r>
      <w:r w:rsidRPr="003028C1">
        <w:rPr>
          <w:rFonts w:eastAsiaTheme="minorEastAsia"/>
          <w:color w:val="000000" w:themeColor="text1"/>
          <w:kern w:val="24"/>
          <w:lang w:val="en-US"/>
        </w:rPr>
        <w:t xml:space="preserve"> current was produced at low values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~3 kA), the central plasma</w:t>
      </w:r>
      <w:r w:rsidRPr="003028C1">
        <w:rPr>
          <w:lang w:val="en-US"/>
        </w:rPr>
        <w:t xml:space="preserve"> 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(b) </w:t>
      </w:r>
      <w:r w:rsidRPr="003028C1">
        <w:rPr>
          <w:lang w:val="en-US"/>
        </w:rPr>
        <w:t xml:space="preserve">was quite narrow: </w:t>
      </w:r>
      <w:r w:rsidRPr="003028C1">
        <w:rPr>
          <w:rFonts w:eastAsiaTheme="minorEastAsia"/>
          <w:color w:val="000000" w:themeColor="text1"/>
          <w:kern w:val="24"/>
          <w:lang w:val="en-US"/>
        </w:rPr>
        <w:t xml:space="preserve">~32 cm from symmetry axis and was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(a).</w:t>
      </w:r>
    </w:p>
    <w:p w14:paraId="785F5E02" w14:textId="1A6D354C" w:rsidR="000C28C4" w:rsidRPr="003028C1" w:rsidRDefault="000C28C4" w:rsidP="00292F69">
      <w:pPr>
        <w:pStyle w:val="NormalWeb"/>
        <w:spacing w:before="0" w:beforeAutospacing="0" w:after="0" w:afterAutospacing="0" w:line="360" w:lineRule="auto"/>
        <w:ind w:firstLine="284"/>
        <w:jc w:val="both"/>
      </w:pPr>
      <w:r w:rsidRPr="003028C1">
        <w:t xml:space="preserve">If the predictive equilibrium calculation is performed instead under the hypothesis that a plasma torus forms, then a quite different configuration is obtained, exhibiting two circles of </w:t>
      </w:r>
      <w:r w:rsidRPr="003028C1">
        <w:rPr>
          <w:rFonts w:eastAsiaTheme="minorEastAsia"/>
          <w:color w:val="000000" w:themeColor="text1"/>
          <w:kern w:val="24"/>
          <w:lang w:val="en-US"/>
        </w:rPr>
        <w:t xml:space="preserve">of ordinary </w:t>
      </w:r>
      <w:r w:rsidR="00621577">
        <w:rPr>
          <w:rFonts w:eastAsiaTheme="minorEastAsia"/>
          <w:color w:val="000000" w:themeColor="text1"/>
          <w:kern w:val="24"/>
          <w:lang w:val="en-US"/>
        </w:rPr>
        <w:t xml:space="preserve">      </w:t>
      </w:r>
      <w:r w:rsidRPr="003028C1">
        <w:rPr>
          <w:rFonts w:eastAsiaTheme="minorEastAsia"/>
          <w:color w:val="000000" w:themeColor="text1"/>
          <w:kern w:val="24"/>
          <w:lang w:val="en-US"/>
        </w:rPr>
        <w:t>X-points (B</w:t>
      </w:r>
      <w:r w:rsidRPr="003028C1">
        <w:rPr>
          <w:rFonts w:eastAsiaTheme="minorEastAsia"/>
          <w:color w:val="000000" w:themeColor="text1"/>
          <w:kern w:val="24"/>
          <w:position w:val="-8"/>
          <w:vertAlign w:val="subscript"/>
          <w:lang w:val="en-US"/>
        </w:rPr>
        <w:t>pol</w:t>
      </w:r>
      <w:r w:rsidRPr="003028C1">
        <w:rPr>
          <w:rFonts w:eastAsiaTheme="minorEastAsia"/>
          <w:color w:val="000000" w:themeColor="text1"/>
          <w:kern w:val="24"/>
          <w:lang w:val="en-US"/>
        </w:rPr>
        <w:t xml:space="preserve">=0) </w:t>
      </w:r>
      <w:r w:rsidRPr="003028C1">
        <w:t xml:space="preserve">as shown in figure </w:t>
      </w:r>
      <w:r w:rsidRPr="003028C1">
        <w:rPr>
          <w:color w:val="0070C0"/>
        </w:rPr>
        <w:t>13</w:t>
      </w:r>
      <w:r w:rsidRPr="003028C1">
        <w:t xml:space="preserve">(c), one up and the other down the equator, both endowed with magnetic separatrices; </w:t>
      </w:r>
      <w:r w:rsidRPr="003028C1">
        <w:rPr>
          <w:rFonts w:eastAsiaTheme="minorEastAsia"/>
          <w:color w:val="000000" w:themeColor="text1"/>
          <w:kern w:val="24"/>
          <w:lang w:val="en-US"/>
        </w:rPr>
        <w:t>in the experiment, if the</w:t>
      </w:r>
      <w:r w:rsidRPr="003028C1">
        <w:t xml:space="preserve"> centerpost discharge</w:t>
      </w:r>
      <w:r w:rsidRPr="003028C1">
        <w:rPr>
          <w:rFonts w:eastAsiaTheme="minorEastAsia"/>
          <w:color w:val="000000" w:themeColor="text1"/>
          <w:kern w:val="24"/>
          <w:lang w:val="en-US"/>
        </w:rPr>
        <w:t xml:space="preserve"> current was produced at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&gt;5-8 kA, the presence of the separatices became quite evident, and the shape of the central Argon plasma </w:t>
      </w:r>
      <w:r w:rsidRPr="003028C1">
        <w:rPr>
          <w:lang w:val="en-US"/>
        </w:rPr>
        <w:t xml:space="preserve">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(d) </w:t>
      </w:r>
      <w:r w:rsidRPr="003028C1">
        <w:rPr>
          <w:lang w:val="en-US"/>
        </w:rPr>
        <w:t xml:space="preserve">was quite broader </w:t>
      </w:r>
      <w:r w:rsidRPr="003028C1">
        <w:rPr>
          <w:rFonts w:eastAsiaTheme="minorEastAsia"/>
          <w:color w:val="000000" w:themeColor="text1"/>
          <w:kern w:val="24"/>
          <w:lang w:val="en-US"/>
        </w:rPr>
        <w:t xml:space="preserve">and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(c).</w:t>
      </w:r>
    </w:p>
    <w:p w14:paraId="7DA6642A" w14:textId="77777777" w:rsidR="000C28C4" w:rsidRPr="00F2105F" w:rsidRDefault="000C28C4" w:rsidP="00D121F4">
      <w:pPr>
        <w:pStyle w:val="ListParagraph"/>
        <w:adjustRightInd w:val="0"/>
        <w:spacing w:line="360" w:lineRule="auto"/>
        <w:ind w:left="0"/>
        <w:jc w:val="both"/>
        <w:rPr>
          <w:rFonts w:ascii="Times" w:hAnsi="Times"/>
          <w:sz w:val="18"/>
          <w:szCs w:val="18"/>
        </w:rPr>
      </w:pPr>
      <w:r w:rsidRPr="00F2105F">
        <w:rPr>
          <w:rFonts w:ascii="Times" w:hAnsi="Times"/>
          <w:noProof/>
          <w:sz w:val="18"/>
          <w:szCs w:val="18"/>
          <w:lang w:eastAsia="en-GB"/>
        </w:rPr>
        <w:drawing>
          <wp:inline distT="0" distB="0" distL="0" distR="0" wp14:anchorId="17313C74" wp14:editId="56E8E835">
            <wp:extent cx="6120130" cy="193484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1934845"/>
                    </a:xfrm>
                    <a:prstGeom prst="rect">
                      <a:avLst/>
                    </a:prstGeom>
                  </pic:spPr>
                </pic:pic>
              </a:graphicData>
            </a:graphic>
          </wp:inline>
        </w:drawing>
      </w:r>
    </w:p>
    <w:p w14:paraId="69C6C318" w14:textId="43458100" w:rsidR="000C28C4" w:rsidRPr="003028C1" w:rsidRDefault="000C28C4" w:rsidP="003028C1">
      <w:pPr>
        <w:pStyle w:val="ListParagraph"/>
        <w:numPr>
          <w:ilvl w:val="0"/>
          <w:numId w:val="8"/>
        </w:numPr>
        <w:adjustRightInd w:val="0"/>
        <w:spacing w:line="360" w:lineRule="auto"/>
        <w:jc w:val="both"/>
        <w:rPr>
          <w:rFonts w:ascii="Times" w:hAnsi="Times"/>
          <w:b/>
          <w:sz w:val="18"/>
          <w:szCs w:val="18"/>
        </w:rPr>
      </w:pPr>
      <w:r w:rsidRPr="00F2105F">
        <w:rPr>
          <w:rFonts w:ascii="Times" w:hAnsi="Times"/>
          <w:sz w:val="18"/>
          <w:szCs w:val="18"/>
        </w:rPr>
        <w:t xml:space="preserve">                                 </w:t>
      </w:r>
      <w:r w:rsidRPr="00F2105F">
        <w:rPr>
          <w:rFonts w:ascii="Times" w:hAnsi="Times"/>
          <w:b/>
          <w:sz w:val="18"/>
          <w:szCs w:val="18"/>
        </w:rPr>
        <w:t>b)                                              c)                                              d)</w:t>
      </w:r>
    </w:p>
    <w:p w14:paraId="2D52137B" w14:textId="74797287" w:rsidR="000C28C4" w:rsidRPr="001A5924" w:rsidRDefault="000C28C4" w:rsidP="001A5924">
      <w:pPr>
        <w:pStyle w:val="ListParagraph"/>
        <w:adjustRightInd w:val="0"/>
        <w:spacing w:line="360" w:lineRule="auto"/>
        <w:ind w:left="0"/>
        <w:jc w:val="both"/>
        <w:rPr>
          <w:sz w:val="20"/>
          <w:szCs w:val="20"/>
          <w:lang w:val="en-US"/>
        </w:rPr>
      </w:pPr>
      <w:r w:rsidRPr="003028C1">
        <w:rPr>
          <w:b/>
          <w:bCs/>
          <w:sz w:val="20"/>
          <w:szCs w:val="20"/>
          <w:lang w:val="en-US"/>
        </w:rPr>
        <w:t>Figure 13.</w:t>
      </w:r>
      <w:r w:rsidRPr="003028C1">
        <w:rPr>
          <w:sz w:val="20"/>
          <w:szCs w:val="20"/>
          <w:lang w:val="en-US"/>
        </w:rPr>
        <w:t xml:space="preserve"> (a) Grad-Shafranov calculation of magnetic field configuration in absence of any closed flux surface current, with I</w:t>
      </w:r>
      <w:r w:rsidRPr="003028C1">
        <w:rPr>
          <w:sz w:val="20"/>
          <w:szCs w:val="20"/>
          <w:vertAlign w:val="subscript"/>
          <w:lang w:val="en-US"/>
        </w:rPr>
        <w:t>CP</w:t>
      </w:r>
      <w:r w:rsidRPr="003028C1">
        <w:rPr>
          <w:sz w:val="20"/>
          <w:szCs w:val="20"/>
          <w:lang w:val="en-US"/>
        </w:rPr>
        <w:t>= 8 kA value of plasma centerpost current I</w:t>
      </w:r>
      <w:r w:rsidRPr="003028C1">
        <w:rPr>
          <w:sz w:val="20"/>
          <w:szCs w:val="20"/>
          <w:vertAlign w:val="subscript"/>
          <w:lang w:val="en-US"/>
        </w:rPr>
        <w:t>CP</w:t>
      </w:r>
      <w:r w:rsidRPr="003028C1">
        <w:rPr>
          <w:sz w:val="20"/>
          <w:szCs w:val="20"/>
          <w:lang w:val="en-US"/>
        </w:rPr>
        <w:t xml:space="preserve"> (the value of the current I</w:t>
      </w:r>
      <w:r w:rsidRPr="003028C1">
        <w:rPr>
          <w:sz w:val="20"/>
          <w:szCs w:val="20"/>
          <w:vertAlign w:val="subscript"/>
          <w:lang w:val="en-US"/>
        </w:rPr>
        <w:t>CP</w:t>
      </w:r>
      <w:r w:rsidRPr="003028C1">
        <w:rPr>
          <w:sz w:val="20"/>
          <w:szCs w:val="20"/>
          <w:lang w:val="en-US"/>
        </w:rPr>
        <w:t xml:space="preserve"> has negligible effects on the calculated centerpost shape); (b) Argon shot #1098 at centerpost plasma current I</w:t>
      </w:r>
      <w:r w:rsidRPr="003028C1">
        <w:rPr>
          <w:sz w:val="20"/>
          <w:szCs w:val="20"/>
          <w:vertAlign w:val="subscript"/>
          <w:lang w:val="en-US"/>
        </w:rPr>
        <w:t>CP</w:t>
      </w:r>
      <w:r w:rsidRPr="003028C1">
        <w:rPr>
          <w:sz w:val="20"/>
          <w:szCs w:val="20"/>
          <w:lang w:val="en-US"/>
        </w:rPr>
        <w:t xml:space="preserve"> = 3kA, obtained in the magnetic field shown in (a); (c) equilibrium calculation of magnetic field configuration with centerpost plasma current I</w:t>
      </w:r>
      <w:r w:rsidRPr="003028C1">
        <w:rPr>
          <w:sz w:val="20"/>
          <w:szCs w:val="20"/>
          <w:vertAlign w:val="subscript"/>
          <w:lang w:val="en-US"/>
        </w:rPr>
        <w:t>CP</w:t>
      </w:r>
      <w:r w:rsidRPr="003028C1">
        <w:rPr>
          <w:sz w:val="20"/>
          <w:szCs w:val="20"/>
          <w:lang w:val="en-US"/>
        </w:rPr>
        <w:t>= 8 kA in presence of closed flux surface torus carrying I</w:t>
      </w:r>
      <w:r w:rsidRPr="003028C1">
        <w:rPr>
          <w:sz w:val="20"/>
          <w:szCs w:val="20"/>
          <w:vertAlign w:val="subscript"/>
          <w:lang w:val="en-US"/>
        </w:rPr>
        <w:t>ST</w:t>
      </w:r>
      <w:r w:rsidRPr="003028C1">
        <w:rPr>
          <w:sz w:val="20"/>
          <w:szCs w:val="20"/>
          <w:lang w:val="en-US"/>
        </w:rPr>
        <w:t xml:space="preserve"> = 5kA; (d) Argon shots #1149-1160 (looking at the two opposite sides of the central plasma) obtained in the magnetic field shown in (a).</w:t>
      </w:r>
    </w:p>
    <w:p w14:paraId="40C20F9A" w14:textId="77777777" w:rsidR="000C28C4" w:rsidRPr="001A5924" w:rsidRDefault="000C28C4" w:rsidP="00D121F4">
      <w:pPr>
        <w:adjustRightInd w:val="0"/>
        <w:spacing w:line="360" w:lineRule="auto"/>
        <w:ind w:firstLine="284"/>
        <w:jc w:val="both"/>
        <w:rPr>
          <w:rFonts w:eastAsiaTheme="minorEastAsia"/>
          <w:color w:val="000000" w:themeColor="text1"/>
          <w:kern w:val="24"/>
          <w:lang w:val="en-US"/>
        </w:rPr>
      </w:pPr>
      <w:r w:rsidRPr="001A5924">
        <w:rPr>
          <w:rFonts w:eastAsiaTheme="minorEastAsia"/>
          <w:color w:val="000000" w:themeColor="text1"/>
          <w:kern w:val="24"/>
          <w:lang w:val="en-US"/>
        </w:rPr>
        <w:lastRenderedPageBreak/>
        <w:t xml:space="preserve">What was found can be summarized by the conclusion that in Argon, when the </w:t>
      </w:r>
      <w:r w:rsidRPr="001A5924">
        <w:rPr>
          <w:lang w:val="en-US"/>
        </w:rPr>
        <w:t xml:space="preserve">direction of the magnetic field inside the equatorial PFExt coils was opposite to the direction of the magnetic field inside the plasma centerpost discharge a toroidal configuration was formed and sustained if the rotational transform of the Plasma centerpost (from anode to cathode) was lower than </w:t>
      </w:r>
      <w:r w:rsidRPr="001A5924">
        <w:rPr>
          <w:noProof/>
          <w:position w:val="-9"/>
          <w:lang w:eastAsia="en-GB"/>
        </w:rPr>
        <w:drawing>
          <wp:inline distT="0" distB="0" distL="0" distR="0" wp14:anchorId="402130B1" wp14:editId="5455BE4E">
            <wp:extent cx="516238" cy="181232"/>
            <wp:effectExtent l="0" t="0" r="0" b="0"/>
            <wp:docPr id="36"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6238" cy="181232"/>
                    </a:xfrm>
                    <a:prstGeom prst="rect">
                      <a:avLst/>
                    </a:prstGeom>
                  </pic:spPr>
                </pic:pic>
              </a:graphicData>
            </a:graphic>
          </wp:inline>
        </w:drawing>
      </w:r>
      <w:r w:rsidRPr="001A5924">
        <w:rPr>
          <w:lang w:val="en-US"/>
        </w:rPr>
        <w:t xml:space="preserve">, which roughly corresponds to </w:t>
      </w:r>
      <w:r w:rsidRPr="001A5924">
        <w:rPr>
          <w:rFonts w:eastAsiaTheme="minorEastAsia"/>
          <w:color w:val="000000" w:themeColor="text1"/>
          <w:kern w:val="24"/>
          <w:lang w:val="en-US"/>
        </w:rPr>
        <w:t>I</w:t>
      </w:r>
      <w:r w:rsidRPr="001A5924">
        <w:rPr>
          <w:rFonts w:eastAsiaTheme="minorEastAsia"/>
          <w:color w:val="000000" w:themeColor="text1"/>
          <w:kern w:val="24"/>
          <w:vertAlign w:val="subscript"/>
          <w:lang w:val="en-US"/>
        </w:rPr>
        <w:t>CP</w:t>
      </w:r>
      <w:r w:rsidRPr="001A5924">
        <w:rPr>
          <w:rFonts w:eastAsiaTheme="minorEastAsia"/>
          <w:color w:val="000000" w:themeColor="text1"/>
          <w:kern w:val="24"/>
          <w:lang w:val="en-US"/>
        </w:rPr>
        <w:t xml:space="preserve"> &gt; 8 kA, indicating that the formation can be attributed to an MHD instability.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458D62EA" w14:textId="77777777" w:rsidTr="009F1708">
        <w:trPr>
          <w:trHeight w:val="6269"/>
        </w:trPr>
        <w:tc>
          <w:tcPr>
            <w:tcW w:w="9638" w:type="dxa"/>
          </w:tcPr>
          <w:p w14:paraId="6FDD7071" w14:textId="77777777" w:rsidR="000C28C4" w:rsidRPr="00F2105F" w:rsidRDefault="000C28C4" w:rsidP="009F1708">
            <w:pPr>
              <w:spacing w:line="360" w:lineRule="auto"/>
              <w:jc w:val="both"/>
              <w:rPr>
                <w:rFonts w:ascii="Times" w:hAnsi="Times"/>
                <w:bCs/>
                <w:noProof/>
                <w:sz w:val="18"/>
                <w:szCs w:val="18"/>
                <w:lang w:val="en-US"/>
              </w:rPr>
            </w:pPr>
          </w:p>
          <w:p w14:paraId="1D2F95AA" w14:textId="77777777" w:rsidR="000C28C4" w:rsidRPr="00F2105F" w:rsidRDefault="000C28C4" w:rsidP="009F1708">
            <w:pPr>
              <w:spacing w:line="360" w:lineRule="auto"/>
              <w:jc w:val="both"/>
              <w:rPr>
                <w:rFonts w:ascii="Times" w:hAnsi="Times"/>
                <w:b/>
                <w:noProof/>
                <w:sz w:val="18"/>
                <w:szCs w:val="18"/>
                <w:lang w:val="en-US"/>
              </w:rPr>
            </w:pPr>
            <w:r w:rsidRPr="00F2105F">
              <w:rPr>
                <w:rFonts w:ascii="Times" w:hAnsi="Times"/>
                <w:b/>
                <w:noProof/>
                <w:sz w:val="18"/>
                <w:szCs w:val="18"/>
                <w:lang w:eastAsia="en-GB"/>
              </w:rPr>
              <w:drawing>
                <wp:inline distT="0" distB="0" distL="0" distR="0" wp14:anchorId="7872A587" wp14:editId="61451B29">
                  <wp:extent cx="6119983" cy="3642995"/>
                  <wp:effectExtent l="0" t="0" r="190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19983" cy="3642995"/>
                          </a:xfrm>
                          <a:prstGeom prst="rect">
                            <a:avLst/>
                          </a:prstGeom>
                        </pic:spPr>
                      </pic:pic>
                    </a:graphicData>
                  </a:graphic>
                </wp:inline>
              </w:drawing>
            </w:r>
          </w:p>
        </w:tc>
      </w:tr>
      <w:tr w:rsidR="000C28C4" w:rsidRPr="001A5924" w14:paraId="6E138386" w14:textId="77777777" w:rsidTr="009F1708">
        <w:tc>
          <w:tcPr>
            <w:tcW w:w="9638" w:type="dxa"/>
          </w:tcPr>
          <w:p w14:paraId="5C1881C6" w14:textId="77777777" w:rsidR="000C28C4" w:rsidRPr="001A5924" w:rsidRDefault="000C28C4" w:rsidP="009F1708">
            <w:pPr>
              <w:spacing w:line="360" w:lineRule="auto"/>
              <w:jc w:val="both"/>
              <w:rPr>
                <w:b/>
                <w:bCs/>
                <w:noProof/>
                <w:sz w:val="20"/>
                <w:szCs w:val="20"/>
                <w:lang w:val="en-US"/>
              </w:rPr>
            </w:pPr>
            <w:r w:rsidRPr="001A5924">
              <w:rPr>
                <w:b/>
                <w:bCs/>
                <w:noProof/>
                <w:sz w:val="20"/>
                <w:szCs w:val="20"/>
                <w:lang w:val="en-US"/>
              </w:rPr>
              <w:t xml:space="preserve">                           a)                                                                 b)                                                              c)                  d) </w:t>
            </w:r>
          </w:p>
          <w:p w14:paraId="33376FCF" w14:textId="77777777" w:rsidR="000C28C4" w:rsidRPr="001A5924" w:rsidRDefault="000C28C4" w:rsidP="009F1708">
            <w:pPr>
              <w:spacing w:line="360" w:lineRule="auto"/>
              <w:jc w:val="both"/>
              <w:rPr>
                <w:bCs/>
                <w:noProof/>
                <w:sz w:val="20"/>
                <w:szCs w:val="20"/>
                <w:lang w:val="en-US"/>
              </w:rPr>
            </w:pPr>
            <w:r w:rsidRPr="001A5924">
              <w:rPr>
                <w:b/>
                <w:noProof/>
                <w:sz w:val="20"/>
                <w:szCs w:val="20"/>
                <w:lang w:val="en-US"/>
              </w:rPr>
              <w:t xml:space="preserve">Figure 14.  </w:t>
            </w:r>
            <w:r w:rsidRPr="001A5924">
              <w:rPr>
                <w:bCs/>
                <w:noProof/>
                <w:sz w:val="20"/>
                <w:szCs w:val="20"/>
                <w:lang w:val="en-US"/>
              </w:rPr>
              <w:t xml:space="preserve">(a) </w:t>
            </w:r>
            <w:r w:rsidRPr="001A5924">
              <w:rPr>
                <w:noProof/>
                <w:sz w:val="20"/>
                <w:szCs w:val="20"/>
                <w:lang w:val="en-US"/>
              </w:rPr>
              <w:t>"Lean"</w:t>
            </w:r>
            <w:r w:rsidRPr="001A5924">
              <w:rPr>
                <w:bCs/>
                <w:noProof/>
                <w:sz w:val="20"/>
                <w:szCs w:val="20"/>
                <w:lang w:val="en-US"/>
              </w:rPr>
              <w:t xml:space="preserve"> torus visible as a brighter belt at the outer edge of the Hydrogen plasma centerpost.  (b) Same, with superposed equilibrium calculation of magnetic flux surfaces. (c) Lower magnetic separatrix, just below the lower circle of X points, from a different camera. All three images refer to Hydrogen plasma shot #1280.  (d) Polycarbonate lower diaphragm, removed at the end of the experimental campaign in which PROTO-SPHERA produced the first plasma tori.</w:t>
            </w:r>
          </w:p>
          <w:p w14:paraId="70C91ABC" w14:textId="77777777" w:rsidR="000C28C4" w:rsidRPr="001A5924" w:rsidRDefault="000C28C4" w:rsidP="009F1708">
            <w:pPr>
              <w:spacing w:line="360" w:lineRule="auto"/>
              <w:jc w:val="both"/>
              <w:rPr>
                <w:noProof/>
                <w:sz w:val="20"/>
                <w:szCs w:val="20"/>
                <w:lang w:val="en-US"/>
              </w:rPr>
            </w:pPr>
          </w:p>
        </w:tc>
      </w:tr>
    </w:tbl>
    <w:p w14:paraId="7DA994CD" w14:textId="77777777" w:rsidR="000C28C4" w:rsidRPr="00DC2203" w:rsidRDefault="000C28C4" w:rsidP="00D121F4">
      <w:pPr>
        <w:pStyle w:val="ListParagraph"/>
        <w:adjustRightInd w:val="0"/>
        <w:spacing w:line="360" w:lineRule="auto"/>
        <w:ind w:left="0" w:firstLine="284"/>
        <w:jc w:val="both"/>
      </w:pPr>
      <w:r w:rsidRPr="00DC2203">
        <w:rPr>
          <w:lang w:val="en-US"/>
        </w:rPr>
        <w:t xml:space="preserve">Immediately also </w:t>
      </w:r>
      <w:r w:rsidRPr="00DC2203">
        <w:t xml:space="preserve">Hydrogen plasma tori were obtained carrying toroidal currents up to 5 kA, an exemple being shown in figure </w:t>
      </w:r>
      <w:r w:rsidRPr="00DC2203">
        <w:rPr>
          <w:color w:val="0070C0"/>
        </w:rPr>
        <w:t>14</w:t>
      </w:r>
      <w:r w:rsidRPr="00DC2203">
        <w:t xml:space="preserve">(a); they were much better visible than the Argon tori, albeit they were extremely "lean", see figure </w:t>
      </w:r>
      <w:r w:rsidRPr="00DC2203">
        <w:rPr>
          <w:color w:val="0070C0"/>
        </w:rPr>
        <w:t>14(</w:t>
      </w:r>
      <w:r w:rsidRPr="00DC2203">
        <w:t xml:space="preserve">b), as it was expected from predictive magnetic equilibrium calculations that included the PFExt coils effect. The skin-current effect of the 4 cm thick Aluminium vacuum vessel delayed by 0.6 s the penetration of the PFExt vertical magnetic field inside the machine; the plasma tori were therefore produced starting from 0.6 s, in the purely magnetostatic </w:t>
      </w:r>
      <w:r w:rsidRPr="00DC2203">
        <w:lastRenderedPageBreak/>
        <w:t xml:space="preserve">field obtained after the skin current flowing in the Aluminium cylinder was dissipated; the sustainment of the first Hydrogen tori was therefore limited to about 1/3 s. It has to be remarked that this time interval is anyway at least one order of magnitude greater than any other characteristic plasma time, including the current diffusion time, and therefore the tori can be considered stationary. The tori were however unexpectedly strongly up/down asymmetric </w:t>
      </w:r>
      <w:r w:rsidRPr="00DC2203">
        <w:rPr>
          <w:bCs/>
        </w:rPr>
        <w:t>and the power injected into the tori was almost totally discharged into the lower part of the plasma, as in figure 14(c)</w:t>
      </w:r>
      <w:r w:rsidRPr="00DC2203">
        <w:t>.</w:t>
      </w:r>
    </w:p>
    <w:p w14:paraId="6DBE76AE" w14:textId="77777777" w:rsidR="000C28C4" w:rsidRPr="00DC2203" w:rsidRDefault="000C28C4" w:rsidP="00D121F4">
      <w:pPr>
        <w:pStyle w:val="ListParagraph"/>
        <w:adjustRightInd w:val="0"/>
        <w:spacing w:line="360" w:lineRule="auto"/>
        <w:ind w:left="0" w:firstLine="284"/>
        <w:jc w:val="both"/>
      </w:pPr>
      <w:r w:rsidRPr="00DC2203">
        <w:t>The tori were always equipped with a "magnetic separatrix", i.e. a conical "fan" of plasma able to discharge the power dissipated inside the torus, out of the two circles of ordinary magnetic X-points (B</w:t>
      </w:r>
      <w:r w:rsidRPr="00DC2203">
        <w:rPr>
          <w:vertAlign w:val="subscript"/>
        </w:rPr>
        <w:t>pol</w:t>
      </w:r>
      <w:r w:rsidRPr="00DC2203">
        <w:t>=0, B</w:t>
      </w:r>
      <w:r w:rsidRPr="00DC2203">
        <w:rPr>
          <w:vertAlign w:val="subscript"/>
        </w:rPr>
        <w:t>T</w:t>
      </w:r>
      <w:r w:rsidRPr="00DC2203">
        <w:sym w:font="Symbol" w:char="F0B9"/>
      </w:r>
      <w:r w:rsidRPr="00DC2203">
        <w:t xml:space="preserve">0). The filamentation of the plasma current, when it entered the lower PF2 internal mirror coil, was very intense, see figure </w:t>
      </w:r>
      <w:r w:rsidRPr="00DC2203">
        <w:rPr>
          <w:color w:val="0070C0"/>
        </w:rPr>
        <w:t>14</w:t>
      </w:r>
      <w:r w:rsidRPr="00DC2203">
        <w:t>(c).</w:t>
      </w:r>
    </w:p>
    <w:p w14:paraId="3EDBD4F1" w14:textId="77777777" w:rsidR="000C28C4" w:rsidRPr="00DC2203" w:rsidRDefault="000C28C4" w:rsidP="00D121F4">
      <w:pPr>
        <w:pStyle w:val="ListParagraph"/>
        <w:adjustRightInd w:val="0"/>
        <w:spacing w:line="360" w:lineRule="auto"/>
        <w:ind w:left="0" w:firstLine="284"/>
        <w:jc w:val="both"/>
      </w:pPr>
      <w:r w:rsidRPr="00DC2203">
        <w:t xml:space="preserve">The presence of two magnetic separatrices compels to introduce divertor plates, i.e. mechanical structures able to withstand the power flowing into the fans. The impact on the lower diaphragm, shown in figure </w:t>
      </w:r>
      <w:r w:rsidRPr="00DC2203">
        <w:rPr>
          <w:color w:val="0070C0"/>
        </w:rPr>
        <w:t>14</w:t>
      </w:r>
      <w:r w:rsidRPr="00DC2203">
        <w:t>(d) see did clearly evidence the nearly axisymmetric nature of the plasma torus. The lower diaphragm however acted as a divertor plate, but being a polycarbonate sheet, was therefore completely inappropriate for withstanding the power coming out from the lower magnetic separatrix.</w:t>
      </w:r>
    </w:p>
    <w:p w14:paraId="1284F267" w14:textId="2516B2E1" w:rsidR="000C28C4" w:rsidRPr="00DC2203" w:rsidRDefault="000C28C4" w:rsidP="00D121F4">
      <w:pPr>
        <w:pStyle w:val="ListParagraph"/>
        <w:spacing w:line="360" w:lineRule="auto"/>
        <w:ind w:left="0" w:firstLine="284"/>
        <w:jc w:val="both"/>
        <w:rPr>
          <w:lang w:val="en-US"/>
        </w:rPr>
      </w:pPr>
      <w:r w:rsidRPr="00DC2203">
        <w:rPr>
          <w:lang w:val="en-US"/>
        </w:rPr>
        <w:t>Unpleasant effects for the plasma torus are associated with any kind of filamentation of the plasma current: the plasma filaments act as a relevant source of magnetic disturbances to the overall axial symmetry of the magnetic configuration. The two main disturbances from current carrying filaments are: a) to add a counterflowing current on the outboard edge of the torus and b) to introduce an ergodic component to the magnetic field inside the torus [</w:t>
      </w:r>
      <w:r w:rsidR="00611F8B" w:rsidRPr="00DC2203">
        <w:rPr>
          <w:lang w:val="en-US"/>
        </w:rPr>
        <w:t>43</w:t>
      </w:r>
      <w:r w:rsidRPr="00DC2203">
        <w:rPr>
          <w:lang w:val="en-US"/>
        </w:rPr>
        <w:t>]. The results would be that: a) the filamentation could therefore contrast the Helicity Injection and b) the integrity of the magnetic toroidal flux surfaces could be spoiled. Both points could worsen the energy confinement inside the plasma torus in the future Phase-2 of the experiment: the first point could decrease the toroidal current in the spherical torus I</w:t>
      </w:r>
      <w:r w:rsidRPr="00DC2203">
        <w:rPr>
          <w:vertAlign w:val="subscript"/>
          <w:lang w:val="en-US"/>
        </w:rPr>
        <w:t>ST</w:t>
      </w:r>
      <w:r w:rsidRPr="00DC2203">
        <w:rPr>
          <w:lang w:val="en-US"/>
        </w:rPr>
        <w:t>, by decreasing the current ratio I</w:t>
      </w:r>
      <w:r w:rsidRPr="00DC2203">
        <w:rPr>
          <w:vertAlign w:val="subscript"/>
          <w:lang w:val="en-US"/>
        </w:rPr>
        <w:t>ST</w:t>
      </w:r>
      <w:r w:rsidRPr="00DC2203">
        <w:rPr>
          <w:lang w:val="en-US"/>
        </w:rPr>
        <w:t>/I</w:t>
      </w:r>
      <w:r w:rsidR="007C4A67" w:rsidRPr="00DC2203">
        <w:rPr>
          <w:vertAlign w:val="subscript"/>
          <w:lang w:val="en-US"/>
        </w:rPr>
        <w:t>CP</w:t>
      </w:r>
      <w:r w:rsidRPr="00DC2203">
        <w:rPr>
          <w:lang w:val="en-US"/>
        </w:rPr>
        <w:t>; the second point could directly enhance the energy losses through an ergodic magnetic field.</w:t>
      </w:r>
    </w:p>
    <w:p w14:paraId="11540C86" w14:textId="77777777" w:rsidR="000C28C4" w:rsidRPr="00DC2203" w:rsidRDefault="000C28C4" w:rsidP="000F0427">
      <w:pPr>
        <w:spacing w:line="360" w:lineRule="auto"/>
        <w:ind w:firstLine="284"/>
        <w:jc w:val="both"/>
        <w:rPr>
          <w:bCs/>
          <w:noProof/>
        </w:rPr>
      </w:pPr>
      <w:r w:rsidRPr="00DC2203">
        <w:rPr>
          <w:bCs/>
          <w:noProof/>
        </w:rPr>
        <w:t>In order to move towards the Phase-2 of PROTO-SPHERA it was decided, at the end of 2018, to operate in 2019-2020-2021 an intermediate phase, having the aim of progressively pushing the plasma from the "lean" tori to the spherical tori. In order to mend the more relevant insulation problems, which appeared in the first plasma operation, a number of actions were undertaken, which have included a new insulating and transparent cylindrical vacuum vessel, new internal compression coils, new insertable and extractable polycarbonate diaphragms and insulated divertor plates. A following paper will illustrate the intermediate phase of PROTO-SPHERA.</w:t>
      </w:r>
    </w:p>
    <w:p w14:paraId="60711F82" w14:textId="77777777" w:rsidR="000C28C4" w:rsidRPr="00A3166F" w:rsidRDefault="000C28C4" w:rsidP="00104478">
      <w:pPr>
        <w:pStyle w:val="Heading1"/>
        <w:rPr>
          <w:rFonts w:ascii="Times New Roman" w:hAnsi="Times New Roman" w:cs="Times New Roman"/>
          <w:color w:val="000000" w:themeColor="text1"/>
          <w:sz w:val="24"/>
          <w:szCs w:val="24"/>
        </w:rPr>
      </w:pPr>
      <w:r w:rsidRPr="00A3166F">
        <w:rPr>
          <w:rFonts w:ascii="Times New Roman" w:hAnsi="Times New Roman" w:cs="Times New Roman"/>
          <w:color w:val="000000" w:themeColor="text1"/>
          <w:sz w:val="24"/>
          <w:szCs w:val="24"/>
        </w:rPr>
        <w:lastRenderedPageBreak/>
        <w:t>Conclusions</w:t>
      </w:r>
    </w:p>
    <w:p w14:paraId="6ED2AC38" w14:textId="77777777" w:rsidR="000C28C4" w:rsidRPr="00F2105F" w:rsidRDefault="000C28C4" w:rsidP="00104478"/>
    <w:p w14:paraId="2325D310" w14:textId="77777777" w:rsidR="000C28C4" w:rsidRPr="00A3166F" w:rsidRDefault="000C28C4" w:rsidP="00D121F4">
      <w:pPr>
        <w:spacing w:line="360" w:lineRule="auto"/>
        <w:jc w:val="both"/>
        <w:rPr>
          <w:bCs/>
          <w:iCs/>
          <w:lang w:val="en-US"/>
        </w:rPr>
      </w:pPr>
      <w:r w:rsidRPr="00A3166F">
        <w:rPr>
          <w:bCs/>
          <w:iCs/>
          <w:lang w:val="en-US"/>
        </w:rPr>
        <w:t>The PROTO-SPHERA experiment, by removing the two metal central conductors of the Tokamak configuration and by replacing both with two electrodes feeding a plasma centerpost discharge, has overcome the need of a toroidal vacuum vessel for producing a magnetically confined plasma and has substituted it with a cylindrical chamber surrounding a simply connected plasma. The centerpost discharge is able, through magnetic reconnections (DC Helicity Injection), to form a plasma confining torus and to sustain it in steady state carrying a toroidal current.</w:t>
      </w:r>
      <w:r w:rsidRPr="00A3166F">
        <w:rPr>
          <w:bCs/>
          <w:iCs/>
        </w:rPr>
        <w:t xml:space="preserve"> </w:t>
      </w:r>
      <w:r w:rsidRPr="00A3166F">
        <w:rPr>
          <w:bCs/>
          <w:iCs/>
          <w:lang w:val="en-US"/>
        </w:rPr>
        <w:t>The greatest difficulty in this new configuration is obviously the possibility that spurious plasma currents flow inside the cylindrical enclosure, but outside the proper centerpost route, along unpredicted and uncontrolled paths, hampering the magnetic configuration, reducing the efficiency by which the plasma centerpost injects magnetic helicity into the torus and finally making the field ergodic inside the torus.</w:t>
      </w:r>
    </w:p>
    <w:p w14:paraId="7D1EC3E2" w14:textId="77777777" w:rsidR="000C28C4" w:rsidRPr="00A3166F" w:rsidRDefault="000C28C4" w:rsidP="00D121F4">
      <w:pPr>
        <w:spacing w:line="360" w:lineRule="auto"/>
        <w:ind w:firstLine="284"/>
        <w:jc w:val="both"/>
        <w:rPr>
          <w:bCs/>
          <w:iCs/>
          <w:lang w:val="en-US"/>
        </w:rPr>
      </w:pPr>
      <w:r w:rsidRPr="00A3166F">
        <w:rPr>
          <w:bCs/>
          <w:iCs/>
          <w:lang w:val="en-US"/>
        </w:rPr>
        <w:t>To prevent the spurious plasma current paths, a number of corrections to the boundary conditions of the experiment have been carried out in its initial phase (centerpost only), but are still underway in the following phase (first confined tori). All the electrostatic boundary corrections have introduced insulating materials inside the vacuum vessel in critical places near the plasma.</w:t>
      </w:r>
    </w:p>
    <w:p w14:paraId="204DA259" w14:textId="791ADB3F" w:rsidR="000C28C4" w:rsidRPr="00A3166F" w:rsidRDefault="000C28C4" w:rsidP="00D121F4">
      <w:pPr>
        <w:adjustRightInd w:val="0"/>
        <w:spacing w:line="360" w:lineRule="auto"/>
        <w:ind w:firstLine="284"/>
        <w:jc w:val="both"/>
        <w:rPr>
          <w:bCs/>
          <w:iCs/>
          <w:lang w:val="en-US"/>
        </w:rPr>
      </w:pPr>
      <w:r w:rsidRPr="00A3166F">
        <w:rPr>
          <w:bCs/>
          <w:iCs/>
          <w:lang w:val="en-US"/>
        </w:rPr>
        <w:t>The corrections have, step by step, not only achieved their desired results, without introducing problems of impurity contamination, but have also shown that the confined plasma tori of PROTO-SPHERA can be sustained in steady state without any need of stabilization by a massive shell-like nearby metal conductor, as it happens in Spheromaks [</w:t>
      </w:r>
      <w:r w:rsidR="00611F8B" w:rsidRPr="00A3166F">
        <w:rPr>
          <w:bCs/>
          <w:iCs/>
          <w:lang w:val="en-US"/>
        </w:rPr>
        <w:t>44</w:t>
      </w:r>
      <w:r w:rsidRPr="00A3166F">
        <w:rPr>
          <w:bCs/>
          <w:iCs/>
          <w:lang w:val="en-US"/>
        </w:rPr>
        <w:t xml:space="preserve">], since the Aluminium START vacuum vessel is very far from the plasma boundary. In any case this point will be definitely clarified by the insertion of the </w:t>
      </w:r>
      <w:r w:rsidRPr="00A3166F">
        <w:rPr>
          <w:bCs/>
          <w:noProof/>
        </w:rPr>
        <w:t>new insulating and transparent cylindrical vacuum vessel</w:t>
      </w:r>
      <w:r w:rsidRPr="00A3166F">
        <w:rPr>
          <w:bCs/>
          <w:iCs/>
          <w:lang w:val="en-US"/>
        </w:rPr>
        <w:t>. This is also a point of interest for laboratory simulations of astrophysical plasma phenomena, as all the astrophysical plasma events in the cosmos are surrounded, after a given distance, by vacuum and therefore by one among the most effective electrical insulators.</w:t>
      </w:r>
    </w:p>
    <w:p w14:paraId="5D5A03E0" w14:textId="77777777" w:rsidR="000C28C4" w:rsidRPr="00A3166F" w:rsidRDefault="000C28C4" w:rsidP="00D121F4">
      <w:pPr>
        <w:adjustRightInd w:val="0"/>
        <w:spacing w:line="360" w:lineRule="auto"/>
        <w:ind w:firstLine="284"/>
        <w:jc w:val="both"/>
        <w:rPr>
          <w:bCs/>
          <w:iCs/>
          <w:lang w:val="en-US"/>
        </w:rPr>
      </w:pPr>
    </w:p>
    <w:p w14:paraId="714CCB9B" w14:textId="77777777" w:rsidR="001321EF" w:rsidRDefault="001321EF" w:rsidP="00D121F4">
      <w:pPr>
        <w:jc w:val="both"/>
        <w:rPr>
          <w:b/>
          <w:bCs/>
          <w:iCs/>
          <w:color w:val="4F81BD" w:themeColor="accent1"/>
          <w:lang w:val="en-US"/>
        </w:rPr>
      </w:pPr>
    </w:p>
    <w:p w14:paraId="2A2BEAE7" w14:textId="77777777" w:rsidR="001321EF" w:rsidRDefault="001321EF" w:rsidP="00D121F4">
      <w:pPr>
        <w:jc w:val="both"/>
        <w:rPr>
          <w:b/>
          <w:bCs/>
          <w:iCs/>
          <w:color w:val="4F81BD" w:themeColor="accent1"/>
          <w:lang w:val="en-US"/>
        </w:rPr>
      </w:pPr>
    </w:p>
    <w:p w14:paraId="71DF617A" w14:textId="77777777" w:rsidR="001321EF" w:rsidRDefault="001321EF" w:rsidP="00D121F4">
      <w:pPr>
        <w:jc w:val="both"/>
        <w:rPr>
          <w:b/>
          <w:bCs/>
          <w:iCs/>
          <w:color w:val="4F81BD" w:themeColor="accent1"/>
          <w:lang w:val="en-US"/>
        </w:rPr>
      </w:pPr>
    </w:p>
    <w:p w14:paraId="21AB830D" w14:textId="77777777" w:rsidR="001321EF" w:rsidRPr="008034A6" w:rsidRDefault="001321EF" w:rsidP="001321EF">
      <w:pPr>
        <w:spacing w:line="276" w:lineRule="auto"/>
        <w:jc w:val="both"/>
        <w:rPr>
          <w:b/>
          <w:bCs/>
          <w:iCs/>
          <w:lang w:val="en-US"/>
        </w:rPr>
      </w:pPr>
      <w:r w:rsidRPr="008034A6">
        <w:rPr>
          <w:b/>
          <w:bCs/>
          <w:iCs/>
          <w:lang w:val="en-US"/>
        </w:rPr>
        <w:t>Acknowledgments</w:t>
      </w:r>
    </w:p>
    <w:p w14:paraId="4BCF5BC5" w14:textId="77777777" w:rsidR="001321EF" w:rsidRDefault="001321EF" w:rsidP="001321EF">
      <w:pPr>
        <w:spacing w:line="276" w:lineRule="auto"/>
        <w:jc w:val="both"/>
        <w:rPr>
          <w:bCs/>
          <w:iCs/>
          <w:lang w:val="en-US"/>
        </w:rPr>
      </w:pPr>
    </w:p>
    <w:p w14:paraId="61539685" w14:textId="4400044F" w:rsidR="000C28C4" w:rsidRPr="00A3166F" w:rsidRDefault="001321EF" w:rsidP="001321EF">
      <w:pPr>
        <w:jc w:val="both"/>
        <w:rPr>
          <w:b/>
          <w:bCs/>
          <w:iCs/>
          <w:color w:val="4F81BD" w:themeColor="accent1"/>
          <w:lang w:val="en-US"/>
        </w:rPr>
      </w:pPr>
      <w:r>
        <w:rPr>
          <w:bCs/>
          <w:iCs/>
          <w:lang w:val="en-US"/>
        </w:rPr>
        <w:t>The authors would like to thank Antonella De Ninno and Federica Causa for supporting this work and for the helpful discussions.</w:t>
      </w:r>
      <w:r w:rsidR="000C28C4" w:rsidRPr="00A3166F">
        <w:rPr>
          <w:b/>
          <w:bCs/>
          <w:iCs/>
          <w:color w:val="4F81BD" w:themeColor="accent1"/>
          <w:lang w:val="en-US"/>
        </w:rPr>
        <w:br w:type="page"/>
      </w:r>
    </w:p>
    <w:p w14:paraId="5EC2469A" w14:textId="77777777" w:rsidR="000C28C4" w:rsidRPr="00891E76" w:rsidRDefault="000C28C4" w:rsidP="00D121F4">
      <w:pPr>
        <w:adjustRightInd w:val="0"/>
        <w:spacing w:line="360" w:lineRule="auto"/>
        <w:ind w:firstLine="284"/>
        <w:jc w:val="both"/>
        <w:rPr>
          <w:b/>
          <w:bCs/>
          <w:iCs/>
          <w:color w:val="4F81BD" w:themeColor="accent1"/>
          <w:lang w:val="en-US"/>
        </w:rPr>
      </w:pPr>
      <w:r w:rsidRPr="00891E76">
        <w:rPr>
          <w:b/>
          <w:bCs/>
          <w:iCs/>
          <w:color w:val="4F81BD" w:themeColor="accent1"/>
          <w:lang w:val="en-US"/>
        </w:rPr>
        <w:lastRenderedPageBreak/>
        <w:t>Appendix A: the power supplies</w:t>
      </w:r>
    </w:p>
    <w:p w14:paraId="5E1B7D6D" w14:textId="77777777" w:rsidR="000C28C4" w:rsidRPr="00891E76" w:rsidRDefault="000C28C4" w:rsidP="00D121F4">
      <w:pPr>
        <w:adjustRightInd w:val="0"/>
        <w:spacing w:line="360" w:lineRule="auto"/>
        <w:ind w:firstLine="284"/>
        <w:jc w:val="both"/>
        <w:rPr>
          <w:b/>
          <w:bCs/>
          <w:iCs/>
          <w:color w:val="4F81BD" w:themeColor="accent1"/>
          <w:lang w:val="en-US"/>
        </w:rPr>
      </w:pPr>
    </w:p>
    <w:p w14:paraId="5FA7A59F" w14:textId="77777777" w:rsidR="000C28C4" w:rsidRPr="00891E76" w:rsidRDefault="000C28C4" w:rsidP="00D121F4">
      <w:pPr>
        <w:spacing w:line="408" w:lineRule="auto"/>
        <w:jc w:val="both"/>
      </w:pPr>
      <w:r w:rsidRPr="00891E76">
        <w:t>The Group-B-PFInt coils are fed by a DC machine that delivers 2 kA at 350 V DC, built by EEI in Vicenza (Italy), in the years 2011-2014. A further power supply for the new Group-A-PFInt compression coils will be built in Phase-2, as a DC machine able to deliver 1.2 kA at 600 V to the 10 new coils connected in series.</w:t>
      </w:r>
    </w:p>
    <w:p w14:paraId="3D89BB99" w14:textId="77777777" w:rsidR="000C28C4" w:rsidRPr="00891E76" w:rsidRDefault="000C28C4" w:rsidP="00D121F4">
      <w:pPr>
        <w:spacing w:line="408" w:lineRule="auto"/>
        <w:jc w:val="both"/>
      </w:pPr>
      <w:r w:rsidRPr="00891E76">
        <w:t>The Plasma Centerpost power supply, built by EEI as well, is instead limited to the first unit (I</w:t>
      </w:r>
      <w:r w:rsidRPr="00891E76">
        <w:rPr>
          <w:vertAlign w:val="subscript"/>
        </w:rPr>
        <w:t xml:space="preserve">CP </w:t>
      </w:r>
      <w:r w:rsidRPr="00891E76">
        <w:t>=10 kA at 350 V DC, for 1.1 sec); a second unit will be built in Phase-2, able to increase the electrode plasma current up to I</w:t>
      </w:r>
      <w:r w:rsidRPr="00891E76">
        <w:rPr>
          <w:vertAlign w:val="subscript"/>
        </w:rPr>
        <w:t>CP</w:t>
      </w:r>
      <w:r w:rsidRPr="00891E76">
        <w:t>=70 kA.</w:t>
      </w:r>
    </w:p>
    <w:p w14:paraId="67EEB991" w14:textId="77777777" w:rsidR="000C28C4" w:rsidRPr="00891E76" w:rsidRDefault="000C28C4" w:rsidP="00D121F4">
      <w:pPr>
        <w:spacing w:line="408" w:lineRule="auto"/>
        <w:jc w:val="both"/>
      </w:pPr>
      <w:r w:rsidRPr="00891E76">
        <w:t>The electrical power supply for heating up the cathode is a six-phased AC machine, also built by EEI, able to deliver 1.7 kA up to 25 V rms to the nine Tungsten filaments present per phase at this moment; its current capability will be increased to 10 kA per phase in the Phase-2 version, where 54 Tungsten filaments will be present per phase, in order to increase the centerpost plasma current up to I</w:t>
      </w:r>
      <w:r w:rsidRPr="00891E76">
        <w:rPr>
          <w:vertAlign w:val="subscript"/>
        </w:rPr>
        <w:t>CP</w:t>
      </w:r>
      <w:r w:rsidRPr="00891E76">
        <w:t>=70 kA.</w:t>
      </w:r>
    </w:p>
    <w:p w14:paraId="4C51D979" w14:textId="77777777" w:rsidR="000C28C4" w:rsidRPr="00F2105F" w:rsidRDefault="000C28C4" w:rsidP="00D121F4">
      <w:pPr>
        <w:jc w:val="both"/>
        <w:rPr>
          <w:bCs/>
          <w:iCs/>
          <w:lang w:val="en-US"/>
        </w:rPr>
      </w:pPr>
    </w:p>
    <w:p w14:paraId="7B10E313" w14:textId="77777777" w:rsidR="000C28C4" w:rsidRPr="00F2105F" w:rsidRDefault="000C28C4" w:rsidP="00D121F4">
      <w:pPr>
        <w:jc w:val="both"/>
        <w:rPr>
          <w:bCs/>
          <w:iCs/>
          <w:lang w:val="en-US"/>
        </w:rPr>
      </w:pPr>
    </w:p>
    <w:p w14:paraId="51E4543A" w14:textId="77777777" w:rsidR="000C28C4" w:rsidRPr="00F2105F" w:rsidRDefault="000C28C4" w:rsidP="00D121F4">
      <w:pPr>
        <w:jc w:val="both"/>
        <w:rPr>
          <w:b/>
        </w:rPr>
      </w:pPr>
      <w:r w:rsidRPr="00F2105F">
        <w:rPr>
          <w:b/>
        </w:rPr>
        <w:br w:type="page"/>
      </w:r>
    </w:p>
    <w:p w14:paraId="3F800685" w14:textId="77777777" w:rsidR="000C28C4" w:rsidRPr="00F2105F" w:rsidRDefault="000C28C4" w:rsidP="004019E5">
      <w:pPr>
        <w:widowControl w:val="0"/>
        <w:adjustRightInd w:val="0"/>
        <w:snapToGrid w:val="0"/>
        <w:ind w:left="340" w:hanging="340"/>
        <w:jc w:val="both"/>
        <w:rPr>
          <w:b/>
        </w:rPr>
      </w:pPr>
      <w:r w:rsidRPr="00F2105F">
        <w:rPr>
          <w:b/>
        </w:rPr>
        <w:lastRenderedPageBreak/>
        <w:t>References</w:t>
      </w:r>
    </w:p>
    <w:p w14:paraId="2D86E0CD" w14:textId="77777777" w:rsidR="000C28C4" w:rsidRPr="00F2105F" w:rsidRDefault="000C28C4" w:rsidP="004019E5">
      <w:pPr>
        <w:widowControl w:val="0"/>
        <w:adjustRightInd w:val="0"/>
        <w:snapToGrid w:val="0"/>
        <w:ind w:left="340" w:hanging="340"/>
        <w:jc w:val="both"/>
        <w:rPr>
          <w:b/>
        </w:rPr>
      </w:pPr>
    </w:p>
    <w:p w14:paraId="2A6AF310" w14:textId="77777777" w:rsidR="000C28C4" w:rsidRPr="00891E76" w:rsidRDefault="000C28C4" w:rsidP="004019E5">
      <w:pPr>
        <w:widowControl w:val="0"/>
        <w:adjustRightInd w:val="0"/>
        <w:snapToGrid w:val="0"/>
        <w:ind w:left="340" w:hanging="340"/>
        <w:jc w:val="both"/>
        <w:rPr>
          <w:sz w:val="20"/>
          <w:szCs w:val="20"/>
          <w:lang w:val="en-US"/>
        </w:rPr>
      </w:pPr>
      <w:r w:rsidRPr="00891E76">
        <w:rPr>
          <w:sz w:val="20"/>
          <w:szCs w:val="20"/>
        </w:rPr>
        <w:t>[1] Hester J.J, Stone J.M., Scowen P.A., Byung-Ii J., Gallagher-Iii J.S., Norman M.L., Ballester G.E., Burrows C.J., Casertano S., Clarke J.T., Crisp D., Griffiths R.E., Hoessel J.G., Holtzman J.A., Krist J.E., Mould J.R., Sankrit R., Stapelfeldt K.R., Trauger J.T., Watson A.M. &amp; Westphal J.A. 1996 WFPC2 Studies of the Crab Nebula</w:t>
      </w:r>
      <w:r w:rsidRPr="00891E76">
        <w:rPr>
          <w:color w:val="000000"/>
          <w:sz w:val="20"/>
          <w:szCs w:val="20"/>
          <w:shd w:val="clear" w:color="auto" w:fill="FFFFFF"/>
        </w:rPr>
        <w:t xml:space="preserve">. III. Magnetic Rayleigh-Taylor Instabilities and the Origin of the Filaments </w:t>
      </w:r>
      <w:r w:rsidRPr="00891E76">
        <w:rPr>
          <w:i/>
          <w:iCs/>
          <w:color w:val="000000"/>
          <w:sz w:val="20"/>
          <w:szCs w:val="20"/>
          <w:shd w:val="clear" w:color="auto" w:fill="FFFFFF"/>
          <w:lang w:val="en-US"/>
        </w:rPr>
        <w:t>Astrophysical Journal</w:t>
      </w:r>
      <w:r w:rsidRPr="00891E76">
        <w:rPr>
          <w:color w:val="000000"/>
          <w:sz w:val="20"/>
          <w:szCs w:val="20"/>
          <w:shd w:val="clear" w:color="auto" w:fill="FFFFFF"/>
          <w:lang w:val="en-US"/>
        </w:rPr>
        <w:t xml:space="preserve"> </w:t>
      </w:r>
      <w:r w:rsidRPr="00891E76">
        <w:rPr>
          <w:b/>
          <w:bCs/>
          <w:color w:val="000000"/>
          <w:sz w:val="20"/>
          <w:szCs w:val="20"/>
          <w:shd w:val="clear" w:color="auto" w:fill="FFFFFF"/>
          <w:lang w:val="en-US"/>
        </w:rPr>
        <w:t>456</w:t>
      </w:r>
      <w:r w:rsidRPr="00891E76">
        <w:rPr>
          <w:color w:val="000000"/>
          <w:sz w:val="20"/>
          <w:szCs w:val="20"/>
          <w:shd w:val="clear" w:color="auto" w:fill="FFFFFF"/>
          <w:lang w:val="en-US"/>
        </w:rPr>
        <w:t xml:space="preserve"> 225</w:t>
      </w:r>
    </w:p>
    <w:p w14:paraId="63FB7770" w14:textId="77777777" w:rsidR="000C28C4" w:rsidRPr="00891E76" w:rsidRDefault="000C28C4" w:rsidP="004019E5">
      <w:pPr>
        <w:pStyle w:val="BodyTextIndent"/>
        <w:widowControl w:val="0"/>
        <w:adjustRightInd w:val="0"/>
        <w:snapToGrid w:val="0"/>
        <w:spacing w:line="240" w:lineRule="auto"/>
        <w:ind w:left="340" w:hanging="340"/>
        <w:jc w:val="both"/>
        <w:rPr>
          <w:i/>
          <w:iCs/>
          <w:sz w:val="20"/>
          <w:lang w:val="it-IT"/>
        </w:rPr>
      </w:pPr>
      <w:r w:rsidRPr="00891E76">
        <w:rPr>
          <w:sz w:val="20"/>
          <w:lang w:val="it-IT"/>
        </w:rPr>
        <w:t xml:space="preserve">[2] Alladio F., Mancuso A., Micozzi P., Pieroni L., Alessandrini C., Apruzzese G., Bettinali L., Buratti P., Coletti A., Costa P., Crescenzi C., Cucchiaro A., De Angelis R., Fortunato T., Frigione D., Gasparotto M., Gatti G., Giovagnoli R., Grosso L.A., Maddaluno G., Maffia G., Mantovani S., Monari G., Nardi C., Papastergiou S., Pillon M., Pizzuto A., Roccella M., Rogier F., Santinelli M., Semeraro L., Sibio A., Tilia B., Tudisco O., Zannelli L. &amp; Zanza V. 2001 PROTO-SPHERA </w:t>
      </w:r>
      <w:r w:rsidRPr="00891E76">
        <w:rPr>
          <w:i/>
          <w:iCs/>
          <w:sz w:val="20"/>
          <w:lang w:val="it-IT"/>
        </w:rPr>
        <w:t>ENEA Serie Energia Associazione Euratom-ENEA sulla Fusione RT/ERG/FUS/2001/14, ISSN 1124/7932</w:t>
      </w:r>
    </w:p>
    <w:p w14:paraId="41220098"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it-IT"/>
        </w:rPr>
        <w:t>[3] Alladio F., Costa P., Mancuso A., Micozzi P., Papastergiou S.</w:t>
      </w:r>
      <w:r w:rsidRPr="00891E76">
        <w:rPr>
          <w:caps/>
          <w:sz w:val="20"/>
          <w:lang w:val="it-IT"/>
        </w:rPr>
        <w:t xml:space="preserve"> </w:t>
      </w:r>
      <w:r w:rsidRPr="00891E76">
        <w:rPr>
          <w:sz w:val="20"/>
          <w:lang w:val="it-IT"/>
        </w:rPr>
        <w:t>&amp; Rogier</w:t>
      </w:r>
      <w:bookmarkStart w:id="1" w:name="OLE_LINK16"/>
      <w:r w:rsidRPr="00891E76">
        <w:rPr>
          <w:sz w:val="20"/>
          <w:lang w:val="it-IT"/>
        </w:rPr>
        <w:t xml:space="preserve"> F.</w:t>
      </w:r>
      <w:r w:rsidRPr="00891E76">
        <w:rPr>
          <w:caps/>
          <w:sz w:val="20"/>
          <w:lang w:val="it-IT"/>
        </w:rPr>
        <w:t xml:space="preserve"> 2006 </w:t>
      </w:r>
      <w:bookmarkEnd w:id="1"/>
      <w:r w:rsidRPr="00891E76">
        <w:rPr>
          <w:i/>
          <w:iCs/>
          <w:sz w:val="20"/>
          <w:lang w:val="it-IT"/>
        </w:rPr>
        <w:t xml:space="preserve">Nucl. </w:t>
      </w:r>
      <w:r w:rsidRPr="00891E76">
        <w:rPr>
          <w:i/>
          <w:iCs/>
          <w:sz w:val="20"/>
          <w:lang w:val="en-US"/>
        </w:rPr>
        <w:t>Fusion</w:t>
      </w:r>
      <w:r w:rsidRPr="00891E76">
        <w:rPr>
          <w:sz w:val="20"/>
          <w:lang w:val="en-US"/>
        </w:rPr>
        <w:t xml:space="preserve"> </w:t>
      </w:r>
      <w:r w:rsidRPr="00891E76">
        <w:rPr>
          <w:b/>
          <w:bCs/>
          <w:sz w:val="20"/>
          <w:lang w:val="en-US"/>
        </w:rPr>
        <w:t>46</w:t>
      </w:r>
      <w:r w:rsidRPr="00891E76">
        <w:rPr>
          <w:sz w:val="20"/>
          <w:lang w:val="en-US"/>
        </w:rPr>
        <w:t xml:space="preserve"> S613–S624</w:t>
      </w:r>
    </w:p>
    <w:p w14:paraId="507D9931"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 xml:space="preserve">[4] Taylor J.B. and Turner M.F. 1989 </w:t>
      </w:r>
      <w:r w:rsidRPr="00891E76">
        <w:rPr>
          <w:i/>
          <w:iCs/>
          <w:sz w:val="20"/>
          <w:lang w:val="en-US"/>
        </w:rPr>
        <w:t>Nucl. Fusion</w:t>
      </w:r>
      <w:r w:rsidRPr="00891E76">
        <w:rPr>
          <w:sz w:val="20"/>
          <w:lang w:val="en-US"/>
        </w:rPr>
        <w:t xml:space="preserve"> </w:t>
      </w:r>
      <w:r w:rsidRPr="00891E76">
        <w:rPr>
          <w:b/>
          <w:bCs/>
          <w:sz w:val="20"/>
          <w:lang w:val="en-US"/>
        </w:rPr>
        <w:t>29</w:t>
      </w:r>
      <w:r w:rsidRPr="00891E76">
        <w:rPr>
          <w:sz w:val="20"/>
          <w:lang w:val="en-US"/>
        </w:rPr>
        <w:t xml:space="preserve"> 219</w:t>
      </w:r>
    </w:p>
    <w:p w14:paraId="7D6ABBB2" w14:textId="77777777"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 xml:space="preserve">[5] </w:t>
      </w:r>
      <w:r w:rsidRPr="00891E76">
        <w:rPr>
          <w:sz w:val="20"/>
          <w:szCs w:val="20"/>
        </w:rPr>
        <w:t xml:space="preserve">Southwood D.J., Farrijgia C.J. &amp; Saunders M.A. 1988 What Are Flux Transfer Events? </w:t>
      </w:r>
      <w:r w:rsidRPr="00891E76">
        <w:rPr>
          <w:i/>
          <w:iCs/>
          <w:sz w:val="20"/>
          <w:szCs w:val="20"/>
        </w:rPr>
        <w:t>Planet. Space Sci.</w:t>
      </w:r>
      <w:r w:rsidRPr="00891E76">
        <w:rPr>
          <w:sz w:val="20"/>
          <w:szCs w:val="20"/>
        </w:rPr>
        <w:t xml:space="preserve"> </w:t>
      </w:r>
      <w:r w:rsidRPr="00891E76">
        <w:rPr>
          <w:b/>
          <w:bCs/>
          <w:sz w:val="20"/>
          <w:szCs w:val="20"/>
        </w:rPr>
        <w:t>36</w:t>
      </w:r>
      <w:r w:rsidRPr="00891E76">
        <w:rPr>
          <w:sz w:val="20"/>
          <w:szCs w:val="20"/>
        </w:rPr>
        <w:t xml:space="preserve"> 505-508</w:t>
      </w:r>
    </w:p>
    <w:p w14:paraId="02AFA623" w14:textId="6757C14C" w:rsidR="000C28C4" w:rsidRPr="00891E76" w:rsidRDefault="000C28C4" w:rsidP="004019E5">
      <w:pPr>
        <w:pStyle w:val="BodyTextIndent"/>
        <w:widowControl w:val="0"/>
        <w:adjustRightInd w:val="0"/>
        <w:snapToGrid w:val="0"/>
        <w:spacing w:line="240" w:lineRule="auto"/>
        <w:ind w:left="340" w:hanging="340"/>
        <w:jc w:val="both"/>
        <w:rPr>
          <w:spacing w:val="3"/>
          <w:sz w:val="20"/>
          <w:lang w:val="en-US"/>
        </w:rPr>
      </w:pPr>
      <w:r w:rsidRPr="00891E76">
        <w:rPr>
          <w:sz w:val="20"/>
          <w:lang w:val="en-US"/>
        </w:rPr>
        <w:t xml:space="preserve">[6] </w:t>
      </w:r>
      <w:r w:rsidRPr="00891E76">
        <w:rPr>
          <w:spacing w:val="3"/>
          <w:sz w:val="20"/>
        </w:rPr>
        <w:t>Fehlau</w:t>
      </w:r>
      <w:r w:rsidRPr="00891E76">
        <w:rPr>
          <w:rStyle w:val="js-separator"/>
          <w:spacing w:val="3"/>
          <w:sz w:val="20"/>
        </w:rPr>
        <w:t> </w:t>
      </w:r>
      <w:r w:rsidRPr="00891E76">
        <w:rPr>
          <w:spacing w:val="3"/>
          <w:sz w:val="20"/>
        </w:rPr>
        <w:t>P.E., Chambers</w:t>
      </w:r>
      <w:r w:rsidRPr="00891E76">
        <w:rPr>
          <w:rStyle w:val="js-separator"/>
          <w:spacing w:val="3"/>
          <w:sz w:val="20"/>
        </w:rPr>
        <w:t>, </w:t>
      </w:r>
      <w:r w:rsidRPr="00891E76">
        <w:rPr>
          <w:spacing w:val="3"/>
          <w:sz w:val="20"/>
        </w:rPr>
        <w:t>W.H. Fuller</w:t>
      </w:r>
      <w:r w:rsidRPr="00891E76">
        <w:rPr>
          <w:rStyle w:val="js-separator"/>
          <w:spacing w:val="3"/>
          <w:sz w:val="20"/>
        </w:rPr>
        <w:t> </w:t>
      </w:r>
      <w:r w:rsidRPr="00891E76">
        <w:rPr>
          <w:spacing w:val="3"/>
          <w:sz w:val="20"/>
        </w:rPr>
        <w:t>J.C., Kunz</w:t>
      </w:r>
      <w:r w:rsidRPr="00891E76">
        <w:rPr>
          <w:rStyle w:val="js-separator"/>
          <w:spacing w:val="3"/>
          <w:sz w:val="20"/>
        </w:rPr>
        <w:t> </w:t>
      </w:r>
      <w:r w:rsidRPr="00891E76">
        <w:rPr>
          <w:spacing w:val="3"/>
          <w:sz w:val="20"/>
        </w:rPr>
        <w:t xml:space="preserve">W.E., Milkey R.W. </w:t>
      </w:r>
      <w:r w:rsidRPr="00891E76">
        <w:rPr>
          <w:rStyle w:val="js-separator"/>
          <w:spacing w:val="3"/>
          <w:sz w:val="20"/>
        </w:rPr>
        <w:t xml:space="preserve">&amp; </w:t>
      </w:r>
      <w:r w:rsidRPr="00891E76">
        <w:rPr>
          <w:spacing w:val="3"/>
          <w:sz w:val="20"/>
        </w:rPr>
        <w:t xml:space="preserve">Blocker N.K. 1971 Periodic Solar Flare X-ray Emission </w:t>
      </w:r>
      <w:r w:rsidRPr="00891E76">
        <w:rPr>
          <w:i/>
          <w:iCs/>
          <w:spacing w:val="3"/>
          <w:sz w:val="20"/>
          <w:lang w:val="en-US"/>
        </w:rPr>
        <w:t>Nature</w:t>
      </w:r>
      <w:r w:rsidRPr="00891E76">
        <w:rPr>
          <w:spacing w:val="3"/>
          <w:sz w:val="20"/>
          <w:lang w:val="en-US"/>
        </w:rPr>
        <w:t xml:space="preserve"> </w:t>
      </w:r>
      <w:r w:rsidRPr="00891E76">
        <w:rPr>
          <w:b/>
          <w:bCs/>
          <w:spacing w:val="3"/>
          <w:sz w:val="20"/>
          <w:lang w:val="en-US"/>
        </w:rPr>
        <w:t>232</w:t>
      </w:r>
      <w:r w:rsidRPr="00891E76">
        <w:rPr>
          <w:spacing w:val="3"/>
          <w:sz w:val="20"/>
          <w:lang w:val="en-US"/>
        </w:rPr>
        <w:t> 42–43 </w:t>
      </w:r>
    </w:p>
    <w:p w14:paraId="2C9F76B3" w14:textId="5C85AD61" w:rsidR="004227D0" w:rsidRPr="00891E76" w:rsidRDefault="004227D0" w:rsidP="004019E5">
      <w:pPr>
        <w:pStyle w:val="BodyTextIndent"/>
        <w:widowControl w:val="0"/>
        <w:adjustRightInd w:val="0"/>
        <w:snapToGrid w:val="0"/>
        <w:spacing w:line="240" w:lineRule="auto"/>
        <w:ind w:left="340" w:hanging="340"/>
        <w:jc w:val="both"/>
        <w:rPr>
          <w:spacing w:val="3"/>
          <w:sz w:val="20"/>
          <w:lang w:val="en-US"/>
        </w:rPr>
      </w:pPr>
      <w:r w:rsidRPr="00891E76">
        <w:rPr>
          <w:spacing w:val="3"/>
          <w:sz w:val="20"/>
          <w:lang w:val="en-US"/>
        </w:rPr>
        <w:t>[</w:t>
      </w:r>
      <w:r w:rsidR="00B01EC7" w:rsidRPr="00891E76">
        <w:rPr>
          <w:spacing w:val="3"/>
          <w:sz w:val="20"/>
          <w:lang w:val="en-US"/>
        </w:rPr>
        <w:t>7</w:t>
      </w:r>
      <w:r w:rsidRPr="00891E76">
        <w:rPr>
          <w:spacing w:val="3"/>
          <w:sz w:val="20"/>
          <w:lang w:val="en-US"/>
        </w:rPr>
        <w:t xml:space="preserve">] </w:t>
      </w:r>
      <w:r w:rsidRPr="00891E76">
        <w:rPr>
          <w:rFonts w:eastAsiaTheme="minorHAnsi"/>
          <w:sz w:val="20"/>
          <w:lang w:eastAsia="en-US"/>
        </w:rPr>
        <w:t>Kirk</w:t>
      </w:r>
      <w:r w:rsidRPr="00891E76">
        <w:rPr>
          <w:spacing w:val="3"/>
          <w:sz w:val="20"/>
          <w:lang w:val="en-US"/>
        </w:rPr>
        <w:t xml:space="preserve"> </w:t>
      </w:r>
      <w:r w:rsidRPr="00891E76">
        <w:rPr>
          <w:rFonts w:eastAsiaTheme="minorHAnsi"/>
          <w:sz w:val="20"/>
          <w:lang w:eastAsia="en-US"/>
        </w:rPr>
        <w:t xml:space="preserve">J. G. and Lyubarsky Y. 2001 Reconnection in pulsar winds </w:t>
      </w:r>
      <w:r w:rsidRPr="00891E76">
        <w:rPr>
          <w:rFonts w:eastAsiaTheme="minorHAnsi"/>
          <w:i/>
          <w:iCs/>
          <w:sz w:val="20"/>
          <w:lang w:eastAsia="en-US"/>
        </w:rPr>
        <w:t>Publications of the Astronomical Society of Australia</w:t>
      </w:r>
      <w:r w:rsidRPr="00891E76">
        <w:rPr>
          <w:rFonts w:eastAsiaTheme="minorHAnsi"/>
          <w:sz w:val="20"/>
          <w:lang w:eastAsia="en-US"/>
        </w:rPr>
        <w:t xml:space="preserve"> </w:t>
      </w:r>
      <w:r w:rsidRPr="00891E76">
        <w:rPr>
          <w:rFonts w:eastAsiaTheme="minorHAnsi"/>
          <w:b/>
          <w:bCs/>
          <w:sz w:val="20"/>
          <w:lang w:eastAsia="en-US"/>
        </w:rPr>
        <w:t>18</w:t>
      </w:r>
      <w:r w:rsidRPr="00891E76">
        <w:rPr>
          <w:rFonts w:eastAsiaTheme="minorHAnsi"/>
          <w:sz w:val="20"/>
          <w:lang w:eastAsia="en-US"/>
        </w:rPr>
        <w:t xml:space="preserve"> 415</w:t>
      </w:r>
    </w:p>
    <w:p w14:paraId="5BC6D995" w14:textId="037227ED" w:rsidR="004965F6" w:rsidRPr="00891E76" w:rsidRDefault="000C28C4" w:rsidP="004019E5">
      <w:pPr>
        <w:widowControl w:val="0"/>
        <w:adjustRightInd w:val="0"/>
        <w:snapToGrid w:val="0"/>
        <w:ind w:left="340" w:hanging="340"/>
        <w:jc w:val="both"/>
        <w:rPr>
          <w:color w:val="000000" w:themeColor="text1"/>
          <w:sz w:val="20"/>
          <w:szCs w:val="20"/>
          <w:shd w:val="clear" w:color="auto" w:fill="FFFFFF"/>
          <w:lang w:val="it-IT"/>
        </w:rPr>
      </w:pPr>
      <w:r w:rsidRPr="00891E76">
        <w:rPr>
          <w:spacing w:val="3"/>
          <w:sz w:val="20"/>
          <w:szCs w:val="20"/>
          <w:lang w:val="it-IT"/>
        </w:rPr>
        <w:t>[</w:t>
      </w:r>
      <w:r w:rsidR="00B01EC7" w:rsidRPr="00891E76">
        <w:rPr>
          <w:spacing w:val="3"/>
          <w:sz w:val="20"/>
          <w:szCs w:val="20"/>
          <w:lang w:val="it-IT"/>
        </w:rPr>
        <w:t>8</w:t>
      </w:r>
      <w:r w:rsidRPr="00891E76">
        <w:rPr>
          <w:spacing w:val="3"/>
          <w:sz w:val="20"/>
          <w:szCs w:val="20"/>
          <w:lang w:val="it-IT"/>
        </w:rPr>
        <w:t xml:space="preserve">] </w:t>
      </w:r>
      <w:r w:rsidRPr="00891E76">
        <w:rPr>
          <w:rStyle w:val="name"/>
          <w:color w:val="000000" w:themeColor="text1"/>
          <w:sz w:val="20"/>
          <w:szCs w:val="20"/>
          <w:lang w:val="it-IT"/>
        </w:rPr>
        <w:t>Tavani M.,</w:t>
      </w:r>
      <w:r w:rsidRPr="00891E76">
        <w:rPr>
          <w:color w:val="000000" w:themeColor="text1"/>
          <w:sz w:val="20"/>
          <w:szCs w:val="20"/>
          <w:lang w:val="it-IT"/>
        </w:rPr>
        <w:t xml:space="preserve"> </w:t>
      </w:r>
      <w:r w:rsidRPr="00891E76">
        <w:rPr>
          <w:rStyle w:val="name"/>
          <w:color w:val="000000" w:themeColor="text1"/>
          <w:sz w:val="20"/>
          <w:szCs w:val="20"/>
          <w:lang w:val="it-IT"/>
        </w:rPr>
        <w:t>Bulgarelli</w:t>
      </w:r>
      <w:r w:rsidRPr="00891E76">
        <w:rPr>
          <w:color w:val="000000" w:themeColor="text1"/>
          <w:sz w:val="20"/>
          <w:szCs w:val="20"/>
          <w:lang w:val="it-IT"/>
        </w:rPr>
        <w:t> </w:t>
      </w:r>
      <w:r w:rsidRPr="00891E76">
        <w:rPr>
          <w:rStyle w:val="name"/>
          <w:color w:val="000000" w:themeColor="text1"/>
          <w:sz w:val="20"/>
          <w:szCs w:val="20"/>
          <w:lang w:val="it-IT"/>
        </w:rPr>
        <w:t>A., Vittorini</w:t>
      </w:r>
      <w:r w:rsidRPr="00891E76">
        <w:rPr>
          <w:color w:val="000000" w:themeColor="text1"/>
          <w:sz w:val="20"/>
          <w:szCs w:val="20"/>
          <w:lang w:val="it-IT"/>
        </w:rPr>
        <w:t> </w:t>
      </w:r>
      <w:r w:rsidRPr="00891E76">
        <w:rPr>
          <w:rStyle w:val="name"/>
          <w:color w:val="000000" w:themeColor="text1"/>
          <w:sz w:val="20"/>
          <w:szCs w:val="20"/>
          <w:lang w:val="it-IT"/>
        </w:rPr>
        <w:t>V., Pellizzoni</w:t>
      </w:r>
      <w:r w:rsidRPr="00891E76">
        <w:rPr>
          <w:color w:val="000000" w:themeColor="text1"/>
          <w:sz w:val="20"/>
          <w:szCs w:val="20"/>
          <w:lang w:val="it-IT"/>
        </w:rPr>
        <w:t> </w:t>
      </w:r>
      <w:r w:rsidRPr="00891E76">
        <w:rPr>
          <w:rStyle w:val="name"/>
          <w:color w:val="000000" w:themeColor="text1"/>
          <w:sz w:val="20"/>
          <w:szCs w:val="20"/>
          <w:lang w:val="it-IT"/>
        </w:rPr>
        <w:t>A., Striani</w:t>
      </w:r>
      <w:r w:rsidRPr="00891E76">
        <w:rPr>
          <w:color w:val="000000" w:themeColor="text1"/>
          <w:sz w:val="20"/>
          <w:szCs w:val="20"/>
          <w:lang w:val="it-IT"/>
        </w:rPr>
        <w:t> </w:t>
      </w:r>
      <w:r w:rsidRPr="00891E76">
        <w:rPr>
          <w:rStyle w:val="name"/>
          <w:color w:val="000000" w:themeColor="text1"/>
          <w:sz w:val="20"/>
          <w:szCs w:val="20"/>
          <w:lang w:val="it-IT"/>
        </w:rPr>
        <w:t>E., Caraveo</w:t>
      </w:r>
      <w:r w:rsidRPr="00891E76">
        <w:rPr>
          <w:color w:val="000000" w:themeColor="text1"/>
          <w:sz w:val="20"/>
          <w:szCs w:val="20"/>
          <w:lang w:val="it-IT"/>
        </w:rPr>
        <w:t> </w:t>
      </w:r>
      <w:r w:rsidRPr="00891E76">
        <w:rPr>
          <w:rStyle w:val="name"/>
          <w:color w:val="000000" w:themeColor="text1"/>
          <w:sz w:val="20"/>
          <w:szCs w:val="20"/>
          <w:lang w:val="it-IT"/>
        </w:rPr>
        <w:t xml:space="preserve">P., </w:t>
      </w:r>
      <w:r w:rsidRPr="00891E76">
        <w:rPr>
          <w:sz w:val="20"/>
          <w:szCs w:val="20"/>
          <w:lang w:val="it-IT"/>
        </w:rPr>
        <w:tab/>
      </w:r>
      <w:r w:rsidRPr="00891E76">
        <w:rPr>
          <w:rStyle w:val="name"/>
          <w:color w:val="000000" w:themeColor="text1"/>
          <w:sz w:val="20"/>
          <w:szCs w:val="20"/>
          <w:lang w:val="it-IT"/>
        </w:rPr>
        <w:t>Weisskopf</w:t>
      </w:r>
      <w:r w:rsidRPr="00891E76">
        <w:rPr>
          <w:color w:val="000000" w:themeColor="text1"/>
          <w:sz w:val="20"/>
          <w:szCs w:val="20"/>
          <w:lang w:val="it-IT"/>
        </w:rPr>
        <w:t> </w:t>
      </w:r>
      <w:r w:rsidRPr="00891E76">
        <w:rPr>
          <w:rStyle w:val="name"/>
          <w:color w:val="000000" w:themeColor="text1"/>
          <w:sz w:val="20"/>
          <w:szCs w:val="20"/>
          <w:lang w:val="it-IT"/>
        </w:rPr>
        <w:t>M.C.,</w:t>
      </w:r>
      <w:r w:rsidR="004019E5">
        <w:rPr>
          <w:rStyle w:val="name"/>
          <w:color w:val="000000" w:themeColor="text1"/>
          <w:sz w:val="20"/>
          <w:szCs w:val="20"/>
          <w:lang w:val="it-IT"/>
        </w:rPr>
        <w:t xml:space="preserve"> Tennan, A.,</w:t>
      </w:r>
      <w:r w:rsidRPr="00891E76">
        <w:rPr>
          <w:rStyle w:val="name"/>
          <w:color w:val="000000" w:themeColor="text1"/>
          <w:sz w:val="20"/>
          <w:szCs w:val="20"/>
          <w:lang w:val="it-IT"/>
        </w:rPr>
        <w:t xml:space="preserve"> Pucella</w:t>
      </w:r>
      <w:r w:rsidRPr="00891E76">
        <w:rPr>
          <w:color w:val="000000" w:themeColor="text1"/>
          <w:sz w:val="20"/>
          <w:szCs w:val="20"/>
          <w:lang w:val="it-IT"/>
        </w:rPr>
        <w:t> </w:t>
      </w:r>
      <w:r w:rsidRPr="00891E76">
        <w:rPr>
          <w:rStyle w:val="name"/>
          <w:color w:val="000000" w:themeColor="text1"/>
          <w:sz w:val="20"/>
          <w:szCs w:val="20"/>
          <w:lang w:val="it-IT"/>
        </w:rPr>
        <w:t>G., Trois</w:t>
      </w:r>
      <w:r w:rsidRPr="00891E76">
        <w:rPr>
          <w:color w:val="000000" w:themeColor="text1"/>
          <w:sz w:val="20"/>
          <w:szCs w:val="20"/>
          <w:lang w:val="it-IT"/>
        </w:rPr>
        <w:t> </w:t>
      </w:r>
      <w:r w:rsidRPr="00891E76">
        <w:rPr>
          <w:rStyle w:val="name"/>
          <w:color w:val="000000" w:themeColor="text1"/>
          <w:sz w:val="20"/>
          <w:szCs w:val="20"/>
          <w:lang w:val="it-IT"/>
        </w:rPr>
        <w:t>A., Costa</w:t>
      </w:r>
      <w:r w:rsidRPr="00891E76">
        <w:rPr>
          <w:color w:val="000000" w:themeColor="text1"/>
          <w:sz w:val="20"/>
          <w:szCs w:val="20"/>
          <w:lang w:val="it-IT"/>
        </w:rPr>
        <w:t> </w:t>
      </w:r>
      <w:r w:rsidRPr="00891E76">
        <w:rPr>
          <w:rStyle w:val="name"/>
          <w:color w:val="000000" w:themeColor="text1"/>
          <w:sz w:val="20"/>
          <w:szCs w:val="20"/>
          <w:lang w:val="it-IT"/>
        </w:rPr>
        <w:t>E., Evangelista</w:t>
      </w:r>
      <w:r w:rsidRPr="00891E76">
        <w:rPr>
          <w:color w:val="000000" w:themeColor="text1"/>
          <w:sz w:val="20"/>
          <w:szCs w:val="20"/>
          <w:lang w:val="it-IT"/>
        </w:rPr>
        <w:t> </w:t>
      </w:r>
      <w:r w:rsidRPr="00891E76">
        <w:rPr>
          <w:rStyle w:val="name"/>
          <w:color w:val="000000" w:themeColor="text1"/>
          <w:sz w:val="20"/>
          <w:szCs w:val="20"/>
          <w:lang w:val="it-IT"/>
        </w:rPr>
        <w:t>Y., Pittori</w:t>
      </w:r>
      <w:r w:rsidRPr="00891E76">
        <w:rPr>
          <w:color w:val="000000" w:themeColor="text1"/>
          <w:sz w:val="20"/>
          <w:szCs w:val="20"/>
          <w:lang w:val="it-IT"/>
        </w:rPr>
        <w:t> </w:t>
      </w:r>
      <w:r w:rsidRPr="00891E76">
        <w:rPr>
          <w:rStyle w:val="name"/>
          <w:color w:val="000000" w:themeColor="text1"/>
          <w:sz w:val="20"/>
          <w:szCs w:val="20"/>
          <w:lang w:val="it-IT"/>
        </w:rPr>
        <w:t>C., Verrecchia</w:t>
      </w:r>
      <w:r w:rsidRPr="00891E76">
        <w:rPr>
          <w:color w:val="000000" w:themeColor="text1"/>
          <w:sz w:val="20"/>
          <w:szCs w:val="20"/>
          <w:lang w:val="it-IT"/>
        </w:rPr>
        <w:t> </w:t>
      </w:r>
      <w:r w:rsidRPr="00891E76">
        <w:rPr>
          <w:rStyle w:val="name"/>
          <w:color w:val="000000" w:themeColor="text1"/>
          <w:sz w:val="20"/>
          <w:szCs w:val="20"/>
          <w:lang w:val="it-IT"/>
        </w:rPr>
        <w:t>F., Del Monte E.,</w:t>
      </w:r>
      <w:r w:rsidRPr="00891E76">
        <w:rPr>
          <w:color w:val="000000" w:themeColor="text1"/>
          <w:sz w:val="20"/>
          <w:szCs w:val="20"/>
          <w:lang w:val="it-IT"/>
        </w:rPr>
        <w:t> </w:t>
      </w:r>
      <w:r w:rsidRPr="00891E76">
        <w:rPr>
          <w:rStyle w:val="name"/>
          <w:color w:val="000000" w:themeColor="text1"/>
          <w:sz w:val="20"/>
          <w:szCs w:val="20"/>
          <w:lang w:val="it-IT"/>
        </w:rPr>
        <w:t xml:space="preserve"> Campana</w:t>
      </w:r>
      <w:r w:rsidRPr="00891E76">
        <w:rPr>
          <w:color w:val="000000" w:themeColor="text1"/>
          <w:sz w:val="20"/>
          <w:szCs w:val="20"/>
          <w:lang w:val="it-IT"/>
        </w:rPr>
        <w:t> </w:t>
      </w:r>
      <w:r w:rsidRPr="00891E76">
        <w:rPr>
          <w:rStyle w:val="name"/>
          <w:color w:val="000000" w:themeColor="text1"/>
          <w:sz w:val="20"/>
          <w:szCs w:val="20"/>
          <w:lang w:val="it-IT"/>
        </w:rPr>
        <w:t>R., Pilia</w:t>
      </w:r>
      <w:r w:rsidRPr="00891E76">
        <w:rPr>
          <w:color w:val="000000" w:themeColor="text1"/>
          <w:sz w:val="20"/>
          <w:szCs w:val="20"/>
          <w:lang w:val="it-IT"/>
        </w:rPr>
        <w:t> </w:t>
      </w:r>
      <w:r w:rsidRPr="00891E76">
        <w:rPr>
          <w:rStyle w:val="name"/>
          <w:color w:val="000000" w:themeColor="text1"/>
          <w:sz w:val="20"/>
          <w:szCs w:val="20"/>
          <w:lang w:val="it-IT"/>
        </w:rPr>
        <w:t>M., De Luca</w:t>
      </w:r>
      <w:r w:rsidRPr="00891E76">
        <w:rPr>
          <w:color w:val="000000" w:themeColor="text1"/>
          <w:sz w:val="20"/>
          <w:szCs w:val="20"/>
          <w:lang w:val="it-IT"/>
        </w:rPr>
        <w:t> </w:t>
      </w:r>
      <w:r w:rsidRPr="00891E76">
        <w:rPr>
          <w:rStyle w:val="name"/>
          <w:color w:val="000000" w:themeColor="text1"/>
          <w:sz w:val="20"/>
          <w:szCs w:val="20"/>
          <w:lang w:val="it-IT"/>
        </w:rPr>
        <w:t>A., Donnarumma</w:t>
      </w:r>
      <w:r w:rsidRPr="00891E76">
        <w:rPr>
          <w:color w:val="000000" w:themeColor="text1"/>
          <w:sz w:val="20"/>
          <w:szCs w:val="20"/>
          <w:lang w:val="it-IT"/>
        </w:rPr>
        <w:t> </w:t>
      </w:r>
      <w:r w:rsidRPr="00891E76">
        <w:rPr>
          <w:rStyle w:val="name"/>
          <w:color w:val="000000" w:themeColor="text1"/>
          <w:sz w:val="20"/>
          <w:szCs w:val="20"/>
          <w:lang w:val="it-IT"/>
        </w:rPr>
        <w:t>I., Horns</w:t>
      </w:r>
      <w:r w:rsidRPr="00891E76">
        <w:rPr>
          <w:color w:val="000000" w:themeColor="text1"/>
          <w:sz w:val="20"/>
          <w:szCs w:val="20"/>
          <w:lang w:val="it-IT"/>
        </w:rPr>
        <w:t> </w:t>
      </w:r>
      <w:r w:rsidRPr="00891E76">
        <w:rPr>
          <w:rStyle w:val="name"/>
          <w:color w:val="000000" w:themeColor="text1"/>
          <w:sz w:val="20"/>
          <w:szCs w:val="20"/>
          <w:lang w:val="it-IT"/>
        </w:rPr>
        <w:t>D., Ferrigno</w:t>
      </w:r>
      <w:r w:rsidRPr="00891E76">
        <w:rPr>
          <w:color w:val="000000" w:themeColor="text1"/>
          <w:sz w:val="20"/>
          <w:szCs w:val="20"/>
          <w:lang w:val="it-IT"/>
        </w:rPr>
        <w:t> </w:t>
      </w:r>
      <w:r w:rsidRPr="00891E76">
        <w:rPr>
          <w:rStyle w:val="name"/>
          <w:color w:val="000000" w:themeColor="text1"/>
          <w:sz w:val="20"/>
          <w:szCs w:val="20"/>
          <w:lang w:val="it-IT"/>
        </w:rPr>
        <w:t>C., Heinke</w:t>
      </w:r>
      <w:r w:rsidRPr="00891E76">
        <w:rPr>
          <w:color w:val="000000" w:themeColor="text1"/>
          <w:sz w:val="20"/>
          <w:szCs w:val="20"/>
          <w:lang w:val="it-IT"/>
        </w:rPr>
        <w:t> </w:t>
      </w:r>
      <w:r w:rsidRPr="00891E76">
        <w:rPr>
          <w:rStyle w:val="name"/>
          <w:color w:val="000000" w:themeColor="text1"/>
          <w:sz w:val="20"/>
          <w:szCs w:val="20"/>
          <w:lang w:val="it-IT"/>
        </w:rPr>
        <w:t>C.O., Trifoglio</w:t>
      </w:r>
      <w:r w:rsidRPr="00891E76">
        <w:rPr>
          <w:color w:val="000000" w:themeColor="text1"/>
          <w:sz w:val="20"/>
          <w:szCs w:val="20"/>
          <w:lang w:val="it-IT"/>
        </w:rPr>
        <w:t> </w:t>
      </w:r>
      <w:r w:rsidRPr="00891E76">
        <w:rPr>
          <w:rStyle w:val="name"/>
          <w:color w:val="000000" w:themeColor="text1"/>
          <w:sz w:val="20"/>
          <w:szCs w:val="20"/>
          <w:lang w:val="it-IT"/>
        </w:rPr>
        <w:t>M., Gianotti</w:t>
      </w:r>
      <w:r w:rsidRPr="00891E76">
        <w:rPr>
          <w:color w:val="000000" w:themeColor="text1"/>
          <w:sz w:val="20"/>
          <w:szCs w:val="20"/>
          <w:lang w:val="it-IT"/>
        </w:rPr>
        <w:t> </w:t>
      </w:r>
      <w:r w:rsidRPr="00891E76">
        <w:rPr>
          <w:rStyle w:val="name"/>
          <w:color w:val="000000" w:themeColor="text1"/>
          <w:sz w:val="20"/>
          <w:szCs w:val="20"/>
          <w:lang w:val="it-IT"/>
        </w:rPr>
        <w:t>F, Vercellone</w:t>
      </w:r>
      <w:r w:rsidRPr="00891E76">
        <w:rPr>
          <w:color w:val="000000" w:themeColor="text1"/>
          <w:sz w:val="20"/>
          <w:szCs w:val="20"/>
          <w:lang w:val="it-IT"/>
        </w:rPr>
        <w:t xml:space="preserve"> </w:t>
      </w:r>
      <w:r w:rsidRPr="00891E76">
        <w:rPr>
          <w:rStyle w:val="name"/>
          <w:color w:val="000000" w:themeColor="text1"/>
          <w:sz w:val="20"/>
          <w:szCs w:val="20"/>
          <w:lang w:val="it-IT"/>
        </w:rPr>
        <w:t>S., Argan</w:t>
      </w:r>
      <w:r w:rsidRPr="00891E76">
        <w:rPr>
          <w:color w:val="000000" w:themeColor="text1"/>
          <w:sz w:val="20"/>
          <w:szCs w:val="20"/>
          <w:lang w:val="it-IT"/>
        </w:rPr>
        <w:t> </w:t>
      </w:r>
      <w:r w:rsidRPr="00891E76">
        <w:rPr>
          <w:rStyle w:val="name"/>
          <w:color w:val="000000" w:themeColor="text1"/>
          <w:sz w:val="20"/>
          <w:szCs w:val="20"/>
          <w:lang w:val="it-IT"/>
        </w:rPr>
        <w:t>A., Barbiellini</w:t>
      </w:r>
      <w:r w:rsidRPr="00891E76">
        <w:rPr>
          <w:color w:val="000000" w:themeColor="text1"/>
          <w:sz w:val="20"/>
          <w:szCs w:val="20"/>
          <w:lang w:val="it-IT"/>
        </w:rPr>
        <w:t> </w:t>
      </w:r>
      <w:r w:rsidRPr="00891E76">
        <w:rPr>
          <w:rStyle w:val="name"/>
          <w:color w:val="000000" w:themeColor="text1"/>
          <w:sz w:val="20"/>
          <w:szCs w:val="20"/>
          <w:lang w:val="it-IT"/>
        </w:rPr>
        <w:t>G., Cattaneo</w:t>
      </w:r>
      <w:r w:rsidRPr="00891E76">
        <w:rPr>
          <w:color w:val="000000" w:themeColor="text1"/>
          <w:sz w:val="20"/>
          <w:szCs w:val="20"/>
          <w:lang w:val="it-IT"/>
        </w:rPr>
        <w:t> </w:t>
      </w:r>
      <w:r w:rsidRPr="00891E76">
        <w:rPr>
          <w:rStyle w:val="name"/>
          <w:color w:val="000000" w:themeColor="text1"/>
          <w:sz w:val="20"/>
          <w:szCs w:val="20"/>
          <w:lang w:val="it-IT"/>
        </w:rPr>
        <w:t>P.W., Chen</w:t>
      </w:r>
      <w:r w:rsidRPr="00891E76">
        <w:rPr>
          <w:color w:val="000000" w:themeColor="text1"/>
          <w:sz w:val="20"/>
          <w:szCs w:val="20"/>
          <w:lang w:val="it-IT"/>
        </w:rPr>
        <w:t> </w:t>
      </w:r>
      <w:r w:rsidRPr="00891E76">
        <w:rPr>
          <w:rStyle w:val="name"/>
          <w:color w:val="000000" w:themeColor="text1"/>
          <w:sz w:val="20"/>
          <w:szCs w:val="20"/>
          <w:lang w:val="it-IT"/>
        </w:rPr>
        <w:t>A.W., Contessi</w:t>
      </w:r>
      <w:r w:rsidRPr="00891E76">
        <w:rPr>
          <w:color w:val="000000" w:themeColor="text1"/>
          <w:sz w:val="20"/>
          <w:szCs w:val="20"/>
          <w:lang w:val="it-IT"/>
        </w:rPr>
        <w:t> </w:t>
      </w:r>
      <w:r w:rsidRPr="00891E76">
        <w:rPr>
          <w:rStyle w:val="name"/>
          <w:color w:val="000000" w:themeColor="text1"/>
          <w:sz w:val="20"/>
          <w:szCs w:val="20"/>
          <w:lang w:val="it-IT"/>
        </w:rPr>
        <w:t>T., D’ammando</w:t>
      </w:r>
      <w:r w:rsidRPr="00891E76">
        <w:rPr>
          <w:color w:val="000000" w:themeColor="text1"/>
          <w:sz w:val="20"/>
          <w:szCs w:val="20"/>
          <w:lang w:val="it-IT"/>
        </w:rPr>
        <w:t> </w:t>
      </w:r>
      <w:r w:rsidRPr="00891E76">
        <w:rPr>
          <w:rStyle w:val="name"/>
          <w:color w:val="000000" w:themeColor="text1"/>
          <w:sz w:val="20"/>
          <w:szCs w:val="20"/>
          <w:lang w:val="it-IT"/>
        </w:rPr>
        <w:t>F., Deparis</w:t>
      </w:r>
      <w:r w:rsidRPr="00891E76">
        <w:rPr>
          <w:color w:val="000000" w:themeColor="text1"/>
          <w:sz w:val="20"/>
          <w:szCs w:val="20"/>
          <w:lang w:val="it-IT"/>
        </w:rPr>
        <w:t> </w:t>
      </w:r>
      <w:r w:rsidRPr="00891E76">
        <w:rPr>
          <w:rStyle w:val="name"/>
          <w:color w:val="000000" w:themeColor="text1"/>
          <w:sz w:val="20"/>
          <w:szCs w:val="20"/>
          <w:lang w:val="it-IT"/>
        </w:rPr>
        <w:t>G., Di Cocco</w:t>
      </w:r>
      <w:r w:rsidRPr="00891E76">
        <w:rPr>
          <w:color w:val="000000" w:themeColor="text1"/>
          <w:sz w:val="20"/>
          <w:szCs w:val="20"/>
          <w:lang w:val="it-IT"/>
        </w:rPr>
        <w:t> </w:t>
      </w:r>
      <w:r w:rsidRPr="00891E76">
        <w:rPr>
          <w:rStyle w:val="name"/>
          <w:color w:val="000000" w:themeColor="text1"/>
          <w:sz w:val="20"/>
          <w:szCs w:val="20"/>
          <w:lang w:val="it-IT"/>
        </w:rPr>
        <w:t>G., Di Persio</w:t>
      </w:r>
      <w:r w:rsidRPr="00891E76">
        <w:rPr>
          <w:color w:val="000000" w:themeColor="text1"/>
          <w:sz w:val="20"/>
          <w:szCs w:val="20"/>
          <w:lang w:val="it-IT"/>
        </w:rPr>
        <w:t> </w:t>
      </w:r>
      <w:r w:rsidRPr="00891E76">
        <w:rPr>
          <w:rStyle w:val="name"/>
          <w:color w:val="000000" w:themeColor="text1"/>
          <w:sz w:val="20"/>
          <w:szCs w:val="20"/>
          <w:lang w:val="it-IT"/>
        </w:rPr>
        <w:t>G., Feroci</w:t>
      </w:r>
      <w:r w:rsidRPr="00891E76">
        <w:rPr>
          <w:color w:val="000000" w:themeColor="text1"/>
          <w:sz w:val="20"/>
          <w:szCs w:val="20"/>
          <w:lang w:val="it-IT"/>
        </w:rPr>
        <w:t> </w:t>
      </w:r>
      <w:r w:rsidRPr="00891E76">
        <w:rPr>
          <w:rStyle w:val="name"/>
          <w:color w:val="000000" w:themeColor="text1"/>
          <w:sz w:val="20"/>
          <w:szCs w:val="20"/>
          <w:lang w:val="it-IT"/>
        </w:rPr>
        <w:t>M., Ferrari</w:t>
      </w:r>
      <w:r w:rsidRPr="00891E76">
        <w:rPr>
          <w:color w:val="000000" w:themeColor="text1"/>
          <w:sz w:val="20"/>
          <w:szCs w:val="20"/>
          <w:lang w:val="it-IT"/>
        </w:rPr>
        <w:t xml:space="preserve"> </w:t>
      </w:r>
      <w:r w:rsidRPr="00891E76">
        <w:rPr>
          <w:rStyle w:val="name"/>
          <w:color w:val="000000" w:themeColor="text1"/>
          <w:sz w:val="20"/>
          <w:szCs w:val="20"/>
          <w:lang w:val="it-IT"/>
        </w:rPr>
        <w:t xml:space="preserve">A., </w:t>
      </w:r>
      <w:r w:rsidRPr="00891E76">
        <w:rPr>
          <w:sz w:val="20"/>
          <w:szCs w:val="20"/>
          <w:lang w:val="it-IT"/>
        </w:rPr>
        <w:tab/>
      </w:r>
      <w:r w:rsidRPr="00891E76">
        <w:rPr>
          <w:rStyle w:val="name"/>
          <w:color w:val="000000" w:themeColor="text1"/>
          <w:sz w:val="20"/>
          <w:szCs w:val="20"/>
          <w:lang w:val="it-IT"/>
        </w:rPr>
        <w:t>Galli</w:t>
      </w:r>
      <w:r w:rsidRPr="00891E76">
        <w:rPr>
          <w:color w:val="000000" w:themeColor="text1"/>
          <w:sz w:val="20"/>
          <w:szCs w:val="20"/>
          <w:lang w:val="it-IT"/>
        </w:rPr>
        <w:t> </w:t>
      </w:r>
      <w:r w:rsidRPr="00891E76">
        <w:rPr>
          <w:rStyle w:val="name"/>
          <w:color w:val="000000" w:themeColor="text1"/>
          <w:sz w:val="20"/>
          <w:szCs w:val="20"/>
          <w:lang w:val="it-IT"/>
        </w:rPr>
        <w:t>M., Giuliani</w:t>
      </w:r>
      <w:r w:rsidRPr="00891E76">
        <w:rPr>
          <w:color w:val="000000" w:themeColor="text1"/>
          <w:sz w:val="20"/>
          <w:szCs w:val="20"/>
          <w:lang w:val="it-IT"/>
        </w:rPr>
        <w:t xml:space="preserve"> </w:t>
      </w:r>
      <w:r w:rsidRPr="00891E76">
        <w:rPr>
          <w:rStyle w:val="name"/>
          <w:color w:val="000000" w:themeColor="text1"/>
          <w:sz w:val="20"/>
          <w:szCs w:val="20"/>
          <w:lang w:val="it-IT"/>
        </w:rPr>
        <w:t>A.,</w:t>
      </w:r>
      <w:r w:rsidRPr="00891E76">
        <w:rPr>
          <w:color w:val="000000" w:themeColor="text1"/>
          <w:sz w:val="20"/>
          <w:szCs w:val="20"/>
          <w:lang w:val="it-IT"/>
        </w:rPr>
        <w:t> </w:t>
      </w:r>
      <w:r w:rsidRPr="00891E76">
        <w:rPr>
          <w:rStyle w:val="name"/>
          <w:color w:val="000000" w:themeColor="text1"/>
          <w:sz w:val="20"/>
          <w:szCs w:val="20"/>
          <w:lang w:val="it-IT"/>
        </w:rPr>
        <w:t>Giusti</w:t>
      </w:r>
      <w:r w:rsidRPr="00891E76">
        <w:rPr>
          <w:color w:val="000000" w:themeColor="text1"/>
          <w:sz w:val="20"/>
          <w:szCs w:val="20"/>
          <w:lang w:val="it-IT"/>
        </w:rPr>
        <w:t> </w:t>
      </w:r>
      <w:r w:rsidRPr="00891E76">
        <w:rPr>
          <w:rStyle w:val="name"/>
          <w:color w:val="000000" w:themeColor="text1"/>
          <w:sz w:val="20"/>
          <w:szCs w:val="20"/>
          <w:lang w:val="it-IT"/>
        </w:rPr>
        <w:t>M., Labanti</w:t>
      </w:r>
      <w:r w:rsidRPr="00891E76">
        <w:rPr>
          <w:color w:val="000000" w:themeColor="text1"/>
          <w:sz w:val="20"/>
          <w:szCs w:val="20"/>
          <w:lang w:val="it-IT"/>
        </w:rPr>
        <w:t> </w:t>
      </w:r>
      <w:r w:rsidRPr="00891E76">
        <w:rPr>
          <w:rStyle w:val="name"/>
          <w:color w:val="000000" w:themeColor="text1"/>
          <w:sz w:val="20"/>
          <w:szCs w:val="20"/>
          <w:lang w:val="it-IT"/>
        </w:rPr>
        <w:t>C., Lapshov I., Lazzarotto</w:t>
      </w:r>
      <w:r w:rsidRPr="00891E76">
        <w:rPr>
          <w:color w:val="000000" w:themeColor="text1"/>
          <w:sz w:val="20"/>
          <w:szCs w:val="20"/>
          <w:lang w:val="it-IT"/>
        </w:rPr>
        <w:t> </w:t>
      </w:r>
      <w:r w:rsidRPr="00891E76">
        <w:rPr>
          <w:rStyle w:val="name"/>
          <w:color w:val="000000" w:themeColor="text1"/>
          <w:sz w:val="20"/>
          <w:szCs w:val="20"/>
          <w:lang w:val="it-IT"/>
        </w:rPr>
        <w:t>F., Lipari</w:t>
      </w:r>
      <w:r w:rsidRPr="00891E76">
        <w:rPr>
          <w:color w:val="000000" w:themeColor="text1"/>
          <w:sz w:val="20"/>
          <w:szCs w:val="20"/>
          <w:lang w:val="it-IT"/>
        </w:rPr>
        <w:t> </w:t>
      </w:r>
      <w:r w:rsidRPr="00891E76">
        <w:rPr>
          <w:rStyle w:val="name"/>
          <w:color w:val="000000" w:themeColor="text1"/>
          <w:sz w:val="20"/>
          <w:szCs w:val="20"/>
          <w:lang w:val="it-IT"/>
        </w:rPr>
        <w:t>P., Longo</w:t>
      </w:r>
      <w:r w:rsidRPr="00891E76">
        <w:rPr>
          <w:color w:val="000000" w:themeColor="text1"/>
          <w:sz w:val="20"/>
          <w:szCs w:val="20"/>
          <w:lang w:val="it-IT"/>
        </w:rPr>
        <w:t> </w:t>
      </w:r>
      <w:r w:rsidRPr="00891E76">
        <w:rPr>
          <w:rStyle w:val="name"/>
          <w:color w:val="000000" w:themeColor="text1"/>
          <w:sz w:val="20"/>
          <w:szCs w:val="20"/>
          <w:lang w:val="it-IT"/>
        </w:rPr>
        <w:t>F., Fuschino</w:t>
      </w:r>
      <w:r w:rsidRPr="00891E76">
        <w:rPr>
          <w:color w:val="000000" w:themeColor="text1"/>
          <w:sz w:val="20"/>
          <w:szCs w:val="20"/>
          <w:lang w:val="it-IT"/>
        </w:rPr>
        <w:t> </w:t>
      </w:r>
      <w:r w:rsidRPr="00891E76">
        <w:rPr>
          <w:rStyle w:val="name"/>
          <w:color w:val="000000" w:themeColor="text1"/>
          <w:sz w:val="20"/>
          <w:szCs w:val="20"/>
          <w:lang w:val="it-IT"/>
        </w:rPr>
        <w:t>F., Marisaldi</w:t>
      </w:r>
      <w:r w:rsidRPr="00891E76">
        <w:rPr>
          <w:color w:val="000000" w:themeColor="text1"/>
          <w:sz w:val="20"/>
          <w:szCs w:val="20"/>
          <w:lang w:val="it-IT"/>
        </w:rPr>
        <w:t> </w:t>
      </w:r>
      <w:r w:rsidRPr="00891E76">
        <w:rPr>
          <w:rStyle w:val="name"/>
          <w:color w:val="000000" w:themeColor="text1"/>
          <w:sz w:val="20"/>
          <w:szCs w:val="20"/>
          <w:lang w:val="it-IT"/>
        </w:rPr>
        <w:t>M., Mereghetti</w:t>
      </w:r>
      <w:r w:rsidRPr="00891E76">
        <w:rPr>
          <w:color w:val="000000" w:themeColor="text1"/>
          <w:sz w:val="20"/>
          <w:szCs w:val="20"/>
          <w:lang w:val="it-IT"/>
        </w:rPr>
        <w:t> </w:t>
      </w:r>
      <w:r w:rsidRPr="00891E76">
        <w:rPr>
          <w:rStyle w:val="name"/>
          <w:color w:val="000000" w:themeColor="text1"/>
          <w:sz w:val="20"/>
          <w:szCs w:val="20"/>
          <w:lang w:val="it-IT"/>
        </w:rPr>
        <w:t>S., Morelli</w:t>
      </w:r>
      <w:r w:rsidRPr="00891E76">
        <w:rPr>
          <w:color w:val="000000" w:themeColor="text1"/>
          <w:sz w:val="20"/>
          <w:szCs w:val="20"/>
          <w:lang w:val="it-IT"/>
        </w:rPr>
        <w:t> </w:t>
      </w:r>
      <w:r w:rsidRPr="00891E76">
        <w:rPr>
          <w:rStyle w:val="name"/>
          <w:color w:val="000000" w:themeColor="text1"/>
          <w:sz w:val="20"/>
          <w:szCs w:val="20"/>
          <w:lang w:val="it-IT"/>
        </w:rPr>
        <w:t>E., Moretti</w:t>
      </w:r>
      <w:r w:rsidRPr="00891E76">
        <w:rPr>
          <w:color w:val="000000" w:themeColor="text1"/>
          <w:sz w:val="20"/>
          <w:szCs w:val="20"/>
          <w:lang w:val="it-IT"/>
        </w:rPr>
        <w:t> </w:t>
      </w:r>
      <w:r w:rsidRPr="00891E76">
        <w:rPr>
          <w:rStyle w:val="name"/>
          <w:color w:val="000000" w:themeColor="text1"/>
          <w:sz w:val="20"/>
          <w:szCs w:val="20"/>
          <w:lang w:val="it-IT"/>
        </w:rPr>
        <w:t>E., Morselli</w:t>
      </w:r>
      <w:r w:rsidRPr="00891E76">
        <w:rPr>
          <w:color w:val="000000" w:themeColor="text1"/>
          <w:sz w:val="20"/>
          <w:szCs w:val="20"/>
          <w:lang w:val="it-IT"/>
        </w:rPr>
        <w:t> </w:t>
      </w:r>
      <w:r w:rsidRPr="00891E76">
        <w:rPr>
          <w:rStyle w:val="name"/>
          <w:color w:val="000000" w:themeColor="text1"/>
          <w:sz w:val="20"/>
          <w:szCs w:val="20"/>
          <w:lang w:val="it-IT"/>
        </w:rPr>
        <w:t>A., Pacciani</w:t>
      </w:r>
      <w:r w:rsidRPr="00891E76">
        <w:rPr>
          <w:color w:val="000000" w:themeColor="text1"/>
          <w:sz w:val="20"/>
          <w:szCs w:val="20"/>
          <w:lang w:val="it-IT"/>
        </w:rPr>
        <w:t> </w:t>
      </w:r>
      <w:r w:rsidRPr="00891E76">
        <w:rPr>
          <w:rStyle w:val="name"/>
          <w:color w:val="000000" w:themeColor="text1"/>
          <w:sz w:val="20"/>
          <w:szCs w:val="20"/>
          <w:lang w:val="it-IT"/>
        </w:rPr>
        <w:t>L., Perotti</w:t>
      </w:r>
      <w:r w:rsidRPr="00891E76">
        <w:rPr>
          <w:color w:val="000000" w:themeColor="text1"/>
          <w:sz w:val="20"/>
          <w:szCs w:val="20"/>
          <w:lang w:val="it-IT"/>
        </w:rPr>
        <w:t> </w:t>
      </w:r>
      <w:r w:rsidRPr="00891E76">
        <w:rPr>
          <w:rStyle w:val="name"/>
          <w:color w:val="000000" w:themeColor="text1"/>
          <w:sz w:val="20"/>
          <w:szCs w:val="20"/>
          <w:lang w:val="it-IT"/>
        </w:rPr>
        <w:t>F., Piano</w:t>
      </w:r>
      <w:r w:rsidRPr="00891E76">
        <w:rPr>
          <w:color w:val="000000" w:themeColor="text1"/>
          <w:sz w:val="20"/>
          <w:szCs w:val="20"/>
          <w:lang w:val="it-IT"/>
        </w:rPr>
        <w:t xml:space="preserve"> </w:t>
      </w:r>
      <w:r w:rsidRPr="00891E76">
        <w:rPr>
          <w:rStyle w:val="name"/>
          <w:color w:val="000000" w:themeColor="text1"/>
          <w:sz w:val="20"/>
          <w:szCs w:val="20"/>
          <w:lang w:val="it-IT"/>
        </w:rPr>
        <w:t>G., Picozza</w:t>
      </w:r>
      <w:r w:rsidRPr="00891E76">
        <w:rPr>
          <w:color w:val="000000" w:themeColor="text1"/>
          <w:sz w:val="20"/>
          <w:szCs w:val="20"/>
          <w:lang w:val="it-IT"/>
        </w:rPr>
        <w:t xml:space="preserve"> </w:t>
      </w:r>
      <w:r w:rsidRPr="00891E76">
        <w:rPr>
          <w:rStyle w:val="name"/>
          <w:color w:val="000000" w:themeColor="text1"/>
          <w:sz w:val="20"/>
          <w:szCs w:val="20"/>
          <w:lang w:val="it-IT"/>
        </w:rPr>
        <w:t>P., Prest</w:t>
      </w:r>
      <w:r w:rsidRPr="00891E76">
        <w:rPr>
          <w:color w:val="000000" w:themeColor="text1"/>
          <w:sz w:val="20"/>
          <w:szCs w:val="20"/>
          <w:lang w:val="it-IT"/>
        </w:rPr>
        <w:t> </w:t>
      </w:r>
      <w:r w:rsidRPr="00891E76">
        <w:rPr>
          <w:rStyle w:val="name"/>
          <w:color w:val="000000" w:themeColor="text1"/>
          <w:sz w:val="20"/>
          <w:szCs w:val="20"/>
          <w:lang w:val="it-IT"/>
        </w:rPr>
        <w:t>M., Rapisarda</w:t>
      </w:r>
      <w:r w:rsidRPr="00891E76">
        <w:rPr>
          <w:color w:val="000000" w:themeColor="text1"/>
          <w:sz w:val="20"/>
          <w:szCs w:val="20"/>
          <w:lang w:val="it-IT"/>
        </w:rPr>
        <w:t> </w:t>
      </w:r>
      <w:r w:rsidRPr="00891E76">
        <w:rPr>
          <w:rStyle w:val="name"/>
          <w:color w:val="000000" w:themeColor="text1"/>
          <w:sz w:val="20"/>
          <w:szCs w:val="20"/>
          <w:lang w:val="it-IT"/>
        </w:rPr>
        <w:t>M., Rappoldi</w:t>
      </w:r>
      <w:r w:rsidRPr="00891E76">
        <w:rPr>
          <w:color w:val="000000" w:themeColor="text1"/>
          <w:sz w:val="20"/>
          <w:szCs w:val="20"/>
          <w:lang w:val="it-IT"/>
        </w:rPr>
        <w:t> </w:t>
      </w:r>
      <w:r w:rsidRPr="00891E76">
        <w:rPr>
          <w:rStyle w:val="name"/>
          <w:color w:val="000000" w:themeColor="text1"/>
          <w:sz w:val="20"/>
          <w:szCs w:val="20"/>
          <w:lang w:val="it-IT"/>
        </w:rPr>
        <w:t>A., Rubini</w:t>
      </w:r>
      <w:r w:rsidRPr="00891E76">
        <w:rPr>
          <w:color w:val="000000" w:themeColor="text1"/>
          <w:sz w:val="20"/>
          <w:szCs w:val="20"/>
          <w:lang w:val="it-IT"/>
        </w:rPr>
        <w:t> </w:t>
      </w:r>
      <w:r w:rsidRPr="00891E76">
        <w:rPr>
          <w:rStyle w:val="name"/>
          <w:color w:val="000000" w:themeColor="text1"/>
          <w:sz w:val="20"/>
          <w:szCs w:val="20"/>
          <w:lang w:val="it-IT"/>
        </w:rPr>
        <w:t>A., Sabatini</w:t>
      </w:r>
      <w:r w:rsidRPr="00891E76">
        <w:rPr>
          <w:color w:val="000000" w:themeColor="text1"/>
          <w:sz w:val="20"/>
          <w:szCs w:val="20"/>
          <w:lang w:val="it-IT"/>
        </w:rPr>
        <w:t> </w:t>
      </w:r>
      <w:r w:rsidRPr="00891E76">
        <w:rPr>
          <w:rStyle w:val="name"/>
          <w:color w:val="000000" w:themeColor="text1"/>
          <w:sz w:val="20"/>
          <w:szCs w:val="20"/>
          <w:lang w:val="it-IT"/>
        </w:rPr>
        <w:t>S., Soffitta</w:t>
      </w:r>
      <w:r w:rsidRPr="00891E76">
        <w:rPr>
          <w:color w:val="000000" w:themeColor="text1"/>
          <w:sz w:val="20"/>
          <w:szCs w:val="20"/>
          <w:lang w:val="it-IT"/>
        </w:rPr>
        <w:t> </w:t>
      </w:r>
      <w:r w:rsidRPr="00891E76">
        <w:rPr>
          <w:rStyle w:val="name"/>
          <w:color w:val="000000" w:themeColor="text1"/>
          <w:sz w:val="20"/>
          <w:szCs w:val="20"/>
          <w:lang w:val="it-IT"/>
        </w:rPr>
        <w:t>P., Vallazza</w:t>
      </w:r>
      <w:r w:rsidRPr="00891E76">
        <w:rPr>
          <w:color w:val="000000" w:themeColor="text1"/>
          <w:sz w:val="20"/>
          <w:szCs w:val="20"/>
          <w:lang w:val="it-IT"/>
        </w:rPr>
        <w:t> </w:t>
      </w:r>
      <w:r w:rsidRPr="00891E76">
        <w:rPr>
          <w:rStyle w:val="name"/>
          <w:color w:val="000000" w:themeColor="text1"/>
          <w:sz w:val="20"/>
          <w:szCs w:val="20"/>
          <w:lang w:val="it-IT"/>
        </w:rPr>
        <w:t>E., Zambra</w:t>
      </w:r>
      <w:r w:rsidRPr="00891E76">
        <w:rPr>
          <w:color w:val="000000" w:themeColor="text1"/>
          <w:sz w:val="20"/>
          <w:szCs w:val="20"/>
          <w:lang w:val="it-IT"/>
        </w:rPr>
        <w:t> </w:t>
      </w:r>
      <w:r w:rsidRPr="00891E76">
        <w:rPr>
          <w:rStyle w:val="name"/>
          <w:color w:val="000000" w:themeColor="text1"/>
          <w:sz w:val="20"/>
          <w:szCs w:val="20"/>
          <w:lang w:val="it-IT"/>
        </w:rPr>
        <w:t>A., Zanello</w:t>
      </w:r>
      <w:r w:rsidRPr="00891E76">
        <w:rPr>
          <w:color w:val="000000" w:themeColor="text1"/>
          <w:sz w:val="20"/>
          <w:szCs w:val="20"/>
          <w:lang w:val="it-IT"/>
        </w:rPr>
        <w:t> </w:t>
      </w:r>
      <w:r w:rsidRPr="00891E76">
        <w:rPr>
          <w:rStyle w:val="name"/>
          <w:color w:val="000000" w:themeColor="text1"/>
          <w:sz w:val="20"/>
          <w:szCs w:val="20"/>
          <w:lang w:val="it-IT"/>
        </w:rPr>
        <w:t>D., Lucarelli</w:t>
      </w:r>
      <w:r w:rsidRPr="00891E76">
        <w:rPr>
          <w:color w:val="000000" w:themeColor="text1"/>
          <w:sz w:val="20"/>
          <w:szCs w:val="20"/>
          <w:lang w:val="it-IT"/>
        </w:rPr>
        <w:t> </w:t>
      </w:r>
      <w:r w:rsidRPr="00891E76">
        <w:rPr>
          <w:rStyle w:val="name"/>
          <w:color w:val="000000" w:themeColor="text1"/>
          <w:sz w:val="20"/>
          <w:szCs w:val="20"/>
          <w:lang w:val="it-IT"/>
        </w:rPr>
        <w:t>F., Santolamazza</w:t>
      </w:r>
      <w:r w:rsidRPr="00891E76">
        <w:rPr>
          <w:color w:val="000000" w:themeColor="text1"/>
          <w:sz w:val="20"/>
          <w:szCs w:val="20"/>
          <w:lang w:val="it-IT"/>
        </w:rPr>
        <w:t> </w:t>
      </w:r>
      <w:r w:rsidRPr="00891E76">
        <w:rPr>
          <w:rStyle w:val="name"/>
          <w:color w:val="000000" w:themeColor="text1"/>
          <w:sz w:val="20"/>
          <w:szCs w:val="20"/>
          <w:lang w:val="it-IT"/>
        </w:rPr>
        <w:t>P., Giommi</w:t>
      </w:r>
      <w:r w:rsidRPr="00891E76">
        <w:rPr>
          <w:color w:val="000000" w:themeColor="text1"/>
          <w:sz w:val="20"/>
          <w:szCs w:val="20"/>
          <w:lang w:val="it-IT"/>
        </w:rPr>
        <w:t> </w:t>
      </w:r>
      <w:r w:rsidRPr="00891E76">
        <w:rPr>
          <w:rStyle w:val="name"/>
          <w:color w:val="000000" w:themeColor="text1"/>
          <w:sz w:val="20"/>
          <w:szCs w:val="20"/>
          <w:lang w:val="it-IT"/>
        </w:rPr>
        <w:t>P., Salotti</w:t>
      </w:r>
      <w:r w:rsidRPr="00891E76">
        <w:rPr>
          <w:color w:val="000000" w:themeColor="text1"/>
          <w:sz w:val="20"/>
          <w:szCs w:val="20"/>
          <w:lang w:val="it-IT"/>
        </w:rPr>
        <w:t> </w:t>
      </w:r>
      <w:r w:rsidRPr="00891E76">
        <w:rPr>
          <w:rStyle w:val="name"/>
          <w:color w:val="000000" w:themeColor="text1"/>
          <w:sz w:val="20"/>
          <w:szCs w:val="20"/>
          <w:lang w:val="it-IT"/>
        </w:rPr>
        <w:t>L. &amp; Bignami</w:t>
      </w:r>
      <w:r w:rsidRPr="00891E76">
        <w:rPr>
          <w:color w:val="000000" w:themeColor="text1"/>
          <w:sz w:val="20"/>
          <w:szCs w:val="20"/>
          <w:lang w:val="it-IT"/>
        </w:rPr>
        <w:t xml:space="preserve">, </w:t>
      </w:r>
      <w:r w:rsidRPr="00891E76">
        <w:rPr>
          <w:rStyle w:val="name"/>
          <w:color w:val="000000" w:themeColor="text1"/>
          <w:sz w:val="20"/>
          <w:szCs w:val="20"/>
          <w:lang w:val="it-IT"/>
        </w:rPr>
        <w:t xml:space="preserve">G.F. </w:t>
      </w:r>
      <w:r w:rsidRPr="00891E76">
        <w:rPr>
          <w:color w:val="000000" w:themeColor="text1"/>
          <w:sz w:val="20"/>
          <w:szCs w:val="20"/>
          <w:shd w:val="clear" w:color="auto" w:fill="FFFFFF"/>
          <w:lang w:val="it-IT"/>
        </w:rPr>
        <w:t xml:space="preserve">2011 Discovery of Powerful Gamma-Ray Flares from the Crab Nebula </w:t>
      </w:r>
      <w:r w:rsidRPr="00891E76">
        <w:rPr>
          <w:rStyle w:val="HTMLCite"/>
          <w:color w:val="000000" w:themeColor="text1"/>
          <w:sz w:val="20"/>
          <w:szCs w:val="20"/>
          <w:shd w:val="clear" w:color="auto" w:fill="FFFFFF"/>
          <w:lang w:val="it-IT"/>
        </w:rPr>
        <w:t>Science</w:t>
      </w:r>
      <w:r w:rsidRPr="00891E76">
        <w:rPr>
          <w:rStyle w:val="HTMLCite"/>
          <w:b/>
          <w:bCs/>
          <w:i w:val="0"/>
          <w:iCs w:val="0"/>
          <w:color w:val="000000" w:themeColor="text1"/>
          <w:sz w:val="20"/>
          <w:szCs w:val="20"/>
          <w:shd w:val="clear" w:color="auto" w:fill="FFFFFF"/>
          <w:lang w:val="it-IT"/>
        </w:rPr>
        <w:t> </w:t>
      </w:r>
      <w:r w:rsidRPr="00891E76">
        <w:rPr>
          <w:b/>
          <w:bCs/>
          <w:color w:val="000000" w:themeColor="text1"/>
          <w:sz w:val="20"/>
          <w:szCs w:val="20"/>
          <w:shd w:val="clear" w:color="auto" w:fill="FFFFFF"/>
          <w:lang w:val="it-IT"/>
        </w:rPr>
        <w:t>331</w:t>
      </w:r>
      <w:r w:rsidRPr="00891E76">
        <w:rPr>
          <w:color w:val="000000" w:themeColor="text1"/>
          <w:sz w:val="20"/>
          <w:szCs w:val="20"/>
          <w:shd w:val="clear" w:color="auto" w:fill="FFFFFF"/>
          <w:lang w:val="it-IT"/>
        </w:rPr>
        <w:t xml:space="preserve"> Issue 6018 736-73 </w:t>
      </w:r>
    </w:p>
    <w:p w14:paraId="69DCDF42" w14:textId="7AADD54A" w:rsidR="00561555" w:rsidRPr="00891E76" w:rsidRDefault="00561555" w:rsidP="004019E5">
      <w:pPr>
        <w:widowControl w:val="0"/>
        <w:adjustRightInd w:val="0"/>
        <w:snapToGrid w:val="0"/>
        <w:ind w:left="340" w:hanging="340"/>
        <w:jc w:val="both"/>
        <w:rPr>
          <w:color w:val="000000" w:themeColor="text1"/>
          <w:sz w:val="20"/>
          <w:szCs w:val="20"/>
          <w:shd w:val="clear" w:color="auto" w:fill="FFFFFF"/>
          <w:lang w:val="en-US"/>
        </w:rPr>
      </w:pPr>
      <w:r w:rsidRPr="00891E76">
        <w:rPr>
          <w:color w:val="000000" w:themeColor="text1"/>
          <w:sz w:val="20"/>
          <w:szCs w:val="20"/>
          <w:shd w:val="clear" w:color="auto" w:fill="FFFFFF"/>
          <w:lang w:val="en-US"/>
        </w:rPr>
        <w:t>[</w:t>
      </w:r>
      <w:r w:rsidR="00B01EC7" w:rsidRPr="00891E76">
        <w:rPr>
          <w:color w:val="000000" w:themeColor="text1"/>
          <w:sz w:val="20"/>
          <w:szCs w:val="20"/>
          <w:shd w:val="clear" w:color="auto" w:fill="FFFFFF"/>
          <w:lang w:val="en-US"/>
        </w:rPr>
        <w:t>9</w:t>
      </w:r>
      <w:r w:rsidRPr="00891E76">
        <w:rPr>
          <w:color w:val="000000" w:themeColor="text1"/>
          <w:sz w:val="20"/>
          <w:szCs w:val="20"/>
          <w:shd w:val="clear" w:color="auto" w:fill="FFFFFF"/>
          <w:lang w:val="en-US"/>
        </w:rPr>
        <w:t xml:space="preserve">] </w:t>
      </w:r>
      <w:r w:rsidR="004227D0" w:rsidRPr="00891E76">
        <w:rPr>
          <w:rFonts w:eastAsiaTheme="minorHAnsi"/>
          <w:sz w:val="20"/>
          <w:szCs w:val="20"/>
          <w:lang w:eastAsia="en-US"/>
        </w:rPr>
        <w:t xml:space="preserve">Shukla A. and Mannheim K. </w:t>
      </w:r>
      <w:r w:rsidR="004965F6" w:rsidRPr="00891E76">
        <w:rPr>
          <w:rFonts w:eastAsiaTheme="minorHAnsi"/>
          <w:sz w:val="20"/>
          <w:szCs w:val="20"/>
          <w:lang w:eastAsia="en-US"/>
        </w:rPr>
        <w:t xml:space="preserve">2020 </w:t>
      </w:r>
      <w:r w:rsidR="004227D0" w:rsidRPr="00891E76">
        <w:rPr>
          <w:rFonts w:eastAsiaTheme="minorHAnsi"/>
          <w:sz w:val="20"/>
          <w:szCs w:val="20"/>
          <w:lang w:eastAsia="en-US"/>
        </w:rPr>
        <w:t>Gamma-ray flares from relativistic magnetic reconnection in the jet of the quasar 3C</w:t>
      </w:r>
      <w:r w:rsidR="004965F6" w:rsidRPr="00891E76">
        <w:rPr>
          <w:rFonts w:eastAsiaTheme="minorHAnsi"/>
          <w:sz w:val="20"/>
          <w:szCs w:val="20"/>
          <w:lang w:eastAsia="en-US"/>
        </w:rPr>
        <w:t xml:space="preserve"> </w:t>
      </w:r>
      <w:r w:rsidR="004227D0" w:rsidRPr="00891E76">
        <w:rPr>
          <w:rFonts w:eastAsiaTheme="minorHAnsi"/>
          <w:sz w:val="20"/>
          <w:szCs w:val="20"/>
          <w:lang w:eastAsia="en-US"/>
        </w:rPr>
        <w:t xml:space="preserve">279 </w:t>
      </w:r>
      <w:r w:rsidR="004227D0" w:rsidRPr="00891E76">
        <w:rPr>
          <w:rFonts w:eastAsiaTheme="minorHAnsi"/>
          <w:i/>
          <w:iCs/>
          <w:sz w:val="20"/>
          <w:szCs w:val="20"/>
          <w:lang w:eastAsia="en-US"/>
        </w:rPr>
        <w:t>Nature Commun</w:t>
      </w:r>
      <w:r w:rsidR="004965F6" w:rsidRPr="00891E76">
        <w:rPr>
          <w:rFonts w:eastAsiaTheme="minorHAnsi"/>
          <w:i/>
          <w:iCs/>
          <w:sz w:val="20"/>
          <w:szCs w:val="20"/>
          <w:lang w:eastAsia="en-US"/>
        </w:rPr>
        <w:t>.</w:t>
      </w:r>
      <w:r w:rsidR="004965F6" w:rsidRPr="00891E76">
        <w:rPr>
          <w:rFonts w:eastAsiaTheme="minorHAnsi"/>
          <w:sz w:val="20"/>
          <w:szCs w:val="20"/>
          <w:lang w:eastAsia="en-US"/>
        </w:rPr>
        <w:t xml:space="preserve"> </w:t>
      </w:r>
      <w:r w:rsidR="004965F6" w:rsidRPr="00891E76">
        <w:rPr>
          <w:b/>
          <w:bCs/>
          <w:color w:val="222222"/>
          <w:sz w:val="20"/>
          <w:szCs w:val="20"/>
          <w:shd w:val="clear" w:color="auto" w:fill="FFFFFF"/>
        </w:rPr>
        <w:t>11</w:t>
      </w:r>
      <w:r w:rsidR="004965F6" w:rsidRPr="00891E76">
        <w:rPr>
          <w:color w:val="222222"/>
          <w:sz w:val="20"/>
          <w:szCs w:val="20"/>
          <w:shd w:val="clear" w:color="auto" w:fill="FFFFFF"/>
        </w:rPr>
        <w:t xml:space="preserve"> 4176</w:t>
      </w:r>
    </w:p>
    <w:p w14:paraId="3C197F34" w14:textId="2B105856"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B01EC7" w:rsidRPr="00891E76">
        <w:rPr>
          <w:sz w:val="20"/>
          <w:szCs w:val="20"/>
          <w:lang w:val="en-US"/>
        </w:rPr>
        <w:t>10</w:t>
      </w:r>
      <w:r w:rsidRPr="00891E76">
        <w:rPr>
          <w:sz w:val="20"/>
          <w:szCs w:val="20"/>
          <w:lang w:val="en-US"/>
        </w:rPr>
        <w:t xml:space="preserve">] </w:t>
      </w:r>
      <w:r w:rsidRPr="00891E76">
        <w:rPr>
          <w:sz w:val="20"/>
          <w:szCs w:val="20"/>
        </w:rPr>
        <w:t xml:space="preserve">Stenzel R.L. </w:t>
      </w:r>
      <w:r w:rsidR="004227D0" w:rsidRPr="00891E76">
        <w:rPr>
          <w:sz w:val="20"/>
          <w:szCs w:val="20"/>
          <w:lang w:val="en-US"/>
        </w:rPr>
        <w:t>and</w:t>
      </w:r>
      <w:r w:rsidRPr="00891E76">
        <w:rPr>
          <w:sz w:val="20"/>
          <w:szCs w:val="20"/>
        </w:rPr>
        <w:t xml:space="preserve"> Gekelman W. 1981 Magnetic Field Line Reconnection Experiments 1. Field Topologies </w:t>
      </w:r>
      <w:r w:rsidRPr="00891E76">
        <w:rPr>
          <w:i/>
          <w:iCs/>
          <w:sz w:val="20"/>
          <w:szCs w:val="20"/>
        </w:rPr>
        <w:t>Journal of Geophysical Research</w:t>
      </w:r>
      <w:r w:rsidRPr="00891E76">
        <w:rPr>
          <w:sz w:val="20"/>
          <w:szCs w:val="20"/>
        </w:rPr>
        <w:t xml:space="preserve"> </w:t>
      </w:r>
      <w:r w:rsidRPr="00891E76">
        <w:rPr>
          <w:b/>
          <w:bCs/>
          <w:sz w:val="20"/>
          <w:szCs w:val="20"/>
        </w:rPr>
        <w:t>86</w:t>
      </w:r>
      <w:r w:rsidRPr="00891E76">
        <w:rPr>
          <w:sz w:val="20"/>
          <w:szCs w:val="20"/>
        </w:rPr>
        <w:t xml:space="preserve"> 649-658</w:t>
      </w:r>
    </w:p>
    <w:p w14:paraId="3931B9B8" w14:textId="76A81A94"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B01EC7" w:rsidRPr="00891E76">
        <w:rPr>
          <w:sz w:val="20"/>
          <w:szCs w:val="20"/>
          <w:lang w:val="en-US"/>
        </w:rPr>
        <w:t>11</w:t>
      </w:r>
      <w:r w:rsidRPr="00891E76">
        <w:rPr>
          <w:sz w:val="20"/>
          <w:szCs w:val="20"/>
          <w:lang w:val="en-US"/>
        </w:rPr>
        <w:t xml:space="preserve">] </w:t>
      </w:r>
      <w:r w:rsidRPr="00891E76">
        <w:rPr>
          <w:sz w:val="20"/>
          <w:szCs w:val="20"/>
        </w:rPr>
        <w:t xml:space="preserve">Stenzel R.L., Gekelman W. &amp; Wild N. 1982 Magnetic Field Line Reconnection Experiments 4. Resistivity, Heating, and Energy Flow </w:t>
      </w:r>
      <w:r w:rsidRPr="00891E76">
        <w:rPr>
          <w:i/>
          <w:iCs/>
          <w:sz w:val="20"/>
          <w:szCs w:val="20"/>
        </w:rPr>
        <w:t>Journal of Geophysical Research</w:t>
      </w:r>
      <w:r w:rsidRPr="00891E76">
        <w:rPr>
          <w:sz w:val="20"/>
          <w:szCs w:val="20"/>
        </w:rPr>
        <w:t xml:space="preserve"> </w:t>
      </w:r>
      <w:r w:rsidRPr="00891E76">
        <w:rPr>
          <w:b/>
          <w:bCs/>
          <w:sz w:val="20"/>
          <w:szCs w:val="20"/>
        </w:rPr>
        <w:t>87</w:t>
      </w:r>
      <w:r w:rsidRPr="00891E76">
        <w:rPr>
          <w:sz w:val="20"/>
          <w:szCs w:val="20"/>
        </w:rPr>
        <w:t xml:space="preserve"> 111-117 </w:t>
      </w:r>
    </w:p>
    <w:p w14:paraId="43AE9ACA" w14:textId="0C727D93" w:rsidR="000C28C4" w:rsidRPr="00891E76" w:rsidRDefault="000C28C4" w:rsidP="004019E5">
      <w:pPr>
        <w:widowControl w:val="0"/>
        <w:adjustRightInd w:val="0"/>
        <w:snapToGrid w:val="0"/>
        <w:ind w:left="340" w:hanging="340"/>
        <w:jc w:val="both"/>
        <w:rPr>
          <w:rFonts w:eastAsiaTheme="minorEastAsia"/>
          <w:sz w:val="20"/>
          <w:szCs w:val="20"/>
        </w:rPr>
      </w:pPr>
      <w:r w:rsidRPr="00891E76">
        <w:rPr>
          <w:sz w:val="20"/>
          <w:szCs w:val="20"/>
          <w:lang w:val="en-US"/>
        </w:rPr>
        <w:t>[1</w:t>
      </w:r>
      <w:r w:rsidR="00B01EC7" w:rsidRPr="00891E76">
        <w:rPr>
          <w:sz w:val="20"/>
          <w:szCs w:val="20"/>
          <w:lang w:val="en-US"/>
        </w:rPr>
        <w:t>2</w:t>
      </w:r>
      <w:r w:rsidRPr="00891E76">
        <w:rPr>
          <w:sz w:val="20"/>
          <w:szCs w:val="20"/>
          <w:lang w:val="en-US"/>
        </w:rPr>
        <w:t xml:space="preserve">] </w:t>
      </w:r>
      <w:r w:rsidRPr="00891E76">
        <w:rPr>
          <w:rFonts w:eastAsiaTheme="minorEastAsia"/>
          <w:sz w:val="20"/>
          <w:szCs w:val="20"/>
        </w:rPr>
        <w:t xml:space="preserve">Fear R.C., Trenchi L., Coxon J.C. &amp; Milan S.E. 2017 How Much Flux Does a Flux Transfer Event Transfer? </w:t>
      </w:r>
      <w:r w:rsidRPr="00891E76">
        <w:rPr>
          <w:rFonts w:eastAsiaTheme="minorEastAsia"/>
          <w:i/>
          <w:iCs/>
          <w:sz w:val="20"/>
          <w:szCs w:val="20"/>
        </w:rPr>
        <w:t>Journal of Geophysical Research: Space Physics</w:t>
      </w:r>
      <w:r w:rsidRPr="00891E76">
        <w:rPr>
          <w:rFonts w:eastAsiaTheme="minorEastAsia"/>
          <w:sz w:val="20"/>
          <w:szCs w:val="20"/>
        </w:rPr>
        <w:t xml:space="preserve"> </w:t>
      </w:r>
      <w:r w:rsidRPr="00891E76">
        <w:rPr>
          <w:rFonts w:eastAsiaTheme="minorEastAsia"/>
          <w:b/>
          <w:bCs/>
          <w:sz w:val="20"/>
          <w:szCs w:val="20"/>
        </w:rPr>
        <w:t>122</w:t>
      </w:r>
      <w:r w:rsidRPr="00891E76">
        <w:rPr>
          <w:rFonts w:eastAsiaTheme="minorEastAsia"/>
          <w:sz w:val="20"/>
          <w:szCs w:val="20"/>
        </w:rPr>
        <w:t xml:space="preserve"> 310–327</w:t>
      </w:r>
    </w:p>
    <w:p w14:paraId="1C751426" w14:textId="7065032C" w:rsidR="000C28C4" w:rsidRPr="00891E76" w:rsidRDefault="000C28C4" w:rsidP="004019E5">
      <w:pPr>
        <w:pStyle w:val="BodyTextIndent"/>
        <w:widowControl w:val="0"/>
        <w:adjustRightInd w:val="0"/>
        <w:snapToGrid w:val="0"/>
        <w:spacing w:line="240" w:lineRule="auto"/>
        <w:ind w:left="340" w:hanging="340"/>
        <w:jc w:val="both"/>
        <w:rPr>
          <w:color w:val="000000"/>
          <w:sz w:val="20"/>
          <w:shd w:val="clear" w:color="auto" w:fill="FFFFFF"/>
        </w:rPr>
      </w:pPr>
      <w:r w:rsidRPr="00891E76">
        <w:rPr>
          <w:sz w:val="20"/>
        </w:rPr>
        <w:t>[1</w:t>
      </w:r>
      <w:r w:rsidR="00B01EC7" w:rsidRPr="00891E76">
        <w:rPr>
          <w:sz w:val="20"/>
        </w:rPr>
        <w:t>3</w:t>
      </w:r>
      <w:r w:rsidRPr="00891E76">
        <w:rPr>
          <w:sz w:val="20"/>
        </w:rPr>
        <w:t xml:space="preserve">] Hester J.J, Scowen P.A., Sankrit R., </w:t>
      </w:r>
      <w:r w:rsidRPr="00891E76">
        <w:rPr>
          <w:rStyle w:val="personname"/>
          <w:color w:val="000000"/>
          <w:sz w:val="20"/>
          <w:shd w:val="clear" w:color="auto" w:fill="FFFFFF"/>
        </w:rPr>
        <w:t>Burrows C.J.</w:t>
      </w:r>
      <w:r w:rsidRPr="00891E76">
        <w:rPr>
          <w:color w:val="000000"/>
          <w:sz w:val="20"/>
          <w:shd w:val="clear" w:color="auto" w:fill="FFFFFF"/>
        </w:rPr>
        <w:t>,</w:t>
      </w:r>
      <w:r w:rsidRPr="00891E76">
        <w:rPr>
          <w:rStyle w:val="personname"/>
          <w:color w:val="000000"/>
          <w:sz w:val="20"/>
          <w:shd w:val="clear" w:color="auto" w:fill="FFFFFF"/>
        </w:rPr>
        <w:t xml:space="preserve"> </w:t>
      </w:r>
      <w:r w:rsidRPr="00891E76">
        <w:rPr>
          <w:sz w:val="20"/>
        </w:rPr>
        <w:t>Gallagher-Iii J.S., Holtzman J.A., Watson A.M., Trauger J.T., Ballester G.E., Casertano S., Clarke J.T., Crisp D.,</w:t>
      </w:r>
      <w:r w:rsidRPr="00891E76">
        <w:rPr>
          <w:rStyle w:val="personname"/>
          <w:color w:val="000000"/>
          <w:sz w:val="20"/>
          <w:shd w:val="clear" w:color="auto" w:fill="FFFFFF"/>
        </w:rPr>
        <w:t xml:space="preserve"> Evans R.W, </w:t>
      </w:r>
      <w:r w:rsidRPr="00891E76">
        <w:rPr>
          <w:sz w:val="20"/>
        </w:rPr>
        <w:t xml:space="preserve">Griffiths R.E., Hoessel J.G., Krist J.E., </w:t>
      </w:r>
      <w:r w:rsidRPr="00891E76">
        <w:rPr>
          <w:rStyle w:val="personname"/>
          <w:color w:val="000000"/>
          <w:sz w:val="20"/>
          <w:shd w:val="clear" w:color="auto" w:fill="FFFFFF"/>
        </w:rPr>
        <w:t xml:space="preserve">Lynds R., </w:t>
      </w:r>
      <w:r w:rsidRPr="00891E76">
        <w:rPr>
          <w:sz w:val="20"/>
        </w:rPr>
        <w:t xml:space="preserve">Mould J.R., </w:t>
      </w:r>
      <w:r w:rsidRPr="00891E76">
        <w:rPr>
          <w:rStyle w:val="personname"/>
          <w:color w:val="000000"/>
          <w:sz w:val="20"/>
          <w:shd w:val="clear" w:color="auto" w:fill="FFFFFF"/>
        </w:rPr>
        <w:t>O'neill Jr. E.J.</w:t>
      </w:r>
      <w:r w:rsidRPr="00891E76">
        <w:rPr>
          <w:color w:val="000000"/>
          <w:sz w:val="20"/>
          <w:shd w:val="clear" w:color="auto" w:fill="FFFFFF"/>
        </w:rPr>
        <w:t>, </w:t>
      </w:r>
      <w:r w:rsidRPr="00891E76">
        <w:rPr>
          <w:sz w:val="20"/>
        </w:rPr>
        <w:t xml:space="preserve">Stapelfeldt K.R. &amp; Westphal J.A. </w:t>
      </w:r>
      <w:r w:rsidRPr="00891E76">
        <w:rPr>
          <w:color w:val="000000"/>
          <w:sz w:val="20"/>
          <w:shd w:val="clear" w:color="auto" w:fill="FFFFFF"/>
        </w:rPr>
        <w:t xml:space="preserve">1995 WFPC2 Studies of the Crab Nebula. I. HST and ROSAT Imaging of the Synchrotron Nebula </w:t>
      </w:r>
      <w:r w:rsidRPr="00891E76">
        <w:rPr>
          <w:i/>
          <w:iCs/>
          <w:color w:val="000000"/>
          <w:sz w:val="20"/>
          <w:shd w:val="clear" w:color="auto" w:fill="FFFFFF"/>
        </w:rPr>
        <w:t>Astrophysical Journal</w:t>
      </w:r>
      <w:r w:rsidRPr="00891E76">
        <w:rPr>
          <w:color w:val="000000"/>
          <w:sz w:val="20"/>
          <w:shd w:val="clear" w:color="auto" w:fill="FFFFFF"/>
        </w:rPr>
        <w:t xml:space="preserve"> </w:t>
      </w:r>
      <w:r w:rsidRPr="00891E76">
        <w:rPr>
          <w:b/>
          <w:bCs/>
          <w:color w:val="000000"/>
          <w:sz w:val="20"/>
          <w:shd w:val="clear" w:color="auto" w:fill="FFFFFF"/>
        </w:rPr>
        <w:t>448</w:t>
      </w:r>
      <w:r w:rsidRPr="00891E76">
        <w:rPr>
          <w:color w:val="000000"/>
          <w:sz w:val="20"/>
          <w:shd w:val="clear" w:color="auto" w:fill="FFFFFF"/>
        </w:rPr>
        <w:t xml:space="preserve"> (1) 240-263</w:t>
      </w:r>
    </w:p>
    <w:p w14:paraId="5292A456" w14:textId="02FEC9A3"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[1</w:t>
      </w:r>
      <w:r w:rsidR="00B01EC7" w:rsidRPr="00891E76">
        <w:rPr>
          <w:sz w:val="20"/>
          <w:szCs w:val="20"/>
          <w:lang w:val="en-US"/>
        </w:rPr>
        <w:t>4</w:t>
      </w:r>
      <w:r w:rsidRPr="00891E76">
        <w:rPr>
          <w:sz w:val="20"/>
          <w:szCs w:val="20"/>
          <w:lang w:val="en-US"/>
        </w:rPr>
        <w:t xml:space="preserve">] </w:t>
      </w:r>
      <w:r w:rsidRPr="00891E76">
        <w:rPr>
          <w:sz w:val="20"/>
          <w:szCs w:val="20"/>
        </w:rPr>
        <w:t xml:space="preserve">Shafranov V.D. 1966 Plasma Equilibrium in a Magnetic Field </w:t>
      </w:r>
      <w:r w:rsidRPr="00891E76">
        <w:rPr>
          <w:i/>
          <w:iCs/>
          <w:sz w:val="20"/>
          <w:szCs w:val="20"/>
        </w:rPr>
        <w:t xml:space="preserve">Reviews of Plasma Physics ed M A Leontovich (New York: Consultants Bureau) </w:t>
      </w:r>
      <w:r w:rsidRPr="00891E76">
        <w:rPr>
          <w:sz w:val="20"/>
          <w:szCs w:val="20"/>
        </w:rPr>
        <w:t xml:space="preserve"> </w:t>
      </w:r>
      <w:r w:rsidRPr="00891E76">
        <w:rPr>
          <w:b/>
          <w:bCs/>
          <w:sz w:val="20"/>
          <w:szCs w:val="20"/>
        </w:rPr>
        <w:t>2</w:t>
      </w:r>
      <w:r w:rsidRPr="00891E76">
        <w:rPr>
          <w:sz w:val="20"/>
          <w:szCs w:val="20"/>
        </w:rPr>
        <w:t xml:space="preserve"> 103</w:t>
      </w:r>
    </w:p>
    <w:p w14:paraId="5EB7495D" w14:textId="094E9665"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[1</w:t>
      </w:r>
      <w:r w:rsidR="00B01EC7" w:rsidRPr="00891E76">
        <w:rPr>
          <w:sz w:val="20"/>
          <w:szCs w:val="20"/>
          <w:lang w:val="en-US"/>
        </w:rPr>
        <w:t>5</w:t>
      </w:r>
      <w:r w:rsidRPr="00891E76">
        <w:rPr>
          <w:sz w:val="20"/>
          <w:szCs w:val="20"/>
        </w:rPr>
        <w:t xml:space="preserve">] </w:t>
      </w:r>
      <w:r w:rsidRPr="00891E76">
        <w:rPr>
          <w:rFonts w:eastAsiaTheme="minorEastAsia"/>
          <w:color w:val="231F20"/>
          <w:sz w:val="20"/>
          <w:szCs w:val="20"/>
        </w:rPr>
        <w:t xml:space="preserve">Chevalier R.A. 1982 Self-similar solutions for the interaction of stellar ejecta with an external medium </w:t>
      </w:r>
      <w:r w:rsidRPr="00891E76">
        <w:rPr>
          <w:i/>
          <w:iCs/>
          <w:color w:val="000000"/>
          <w:sz w:val="20"/>
          <w:szCs w:val="20"/>
          <w:shd w:val="clear" w:color="auto" w:fill="FFFFFF"/>
        </w:rPr>
        <w:t>Astrophysical Journal</w:t>
      </w:r>
      <w:r w:rsidRPr="00891E76">
        <w:rPr>
          <w:rFonts w:eastAsiaTheme="minorEastAsia"/>
          <w:color w:val="231F20"/>
          <w:sz w:val="20"/>
          <w:szCs w:val="20"/>
        </w:rPr>
        <w:t xml:space="preserve"> </w:t>
      </w:r>
      <w:r w:rsidRPr="00891E76">
        <w:rPr>
          <w:rFonts w:eastAsiaTheme="minorEastAsia"/>
          <w:b/>
          <w:bCs/>
          <w:color w:val="231F20"/>
          <w:sz w:val="20"/>
          <w:szCs w:val="20"/>
        </w:rPr>
        <w:t>258</w:t>
      </w:r>
      <w:r w:rsidRPr="00891E76">
        <w:rPr>
          <w:rFonts w:eastAsiaTheme="minorEastAsia"/>
          <w:color w:val="231F20"/>
          <w:sz w:val="20"/>
          <w:szCs w:val="20"/>
        </w:rPr>
        <w:t xml:space="preserve"> 790-797</w:t>
      </w:r>
    </w:p>
    <w:p w14:paraId="24970F55" w14:textId="78DC3951" w:rsidR="004C593C" w:rsidRPr="00891E76" w:rsidRDefault="004C593C" w:rsidP="004019E5">
      <w:pPr>
        <w:autoSpaceDE w:val="0"/>
        <w:autoSpaceDN w:val="0"/>
        <w:adjustRightInd w:val="0"/>
        <w:jc w:val="both"/>
        <w:rPr>
          <w:rFonts w:eastAsiaTheme="minorHAnsi"/>
          <w:sz w:val="20"/>
          <w:szCs w:val="20"/>
          <w:lang w:eastAsia="en-US"/>
        </w:rPr>
      </w:pPr>
      <w:r w:rsidRPr="00891E76">
        <w:rPr>
          <w:rFonts w:eastAsiaTheme="minorEastAsia"/>
          <w:color w:val="231F20"/>
          <w:sz w:val="20"/>
          <w:szCs w:val="20"/>
          <w:lang w:val="en-US"/>
        </w:rPr>
        <w:t>[</w:t>
      </w:r>
      <w:r w:rsidR="00B01EC7" w:rsidRPr="00891E76">
        <w:rPr>
          <w:rFonts w:eastAsiaTheme="minorEastAsia"/>
          <w:color w:val="231F20"/>
          <w:sz w:val="20"/>
          <w:szCs w:val="20"/>
          <w:lang w:val="en-US"/>
        </w:rPr>
        <w:t>16</w:t>
      </w:r>
      <w:r w:rsidRPr="00891E76">
        <w:rPr>
          <w:rFonts w:eastAsiaTheme="minorEastAsia"/>
          <w:color w:val="231F20"/>
          <w:sz w:val="20"/>
          <w:szCs w:val="20"/>
          <w:lang w:val="en-US"/>
        </w:rPr>
        <w:t xml:space="preserve">] Benford G. 1978 </w:t>
      </w:r>
      <w:r w:rsidRPr="00891E76">
        <w:rPr>
          <w:rFonts w:eastAsiaTheme="minorHAnsi"/>
          <w:sz w:val="20"/>
          <w:szCs w:val="20"/>
          <w:lang w:eastAsia="en-US"/>
        </w:rPr>
        <w:t xml:space="preserve">Current-carrying beams in astrophysics: models for double radio sources and jets </w:t>
      </w:r>
      <w:r w:rsidRPr="00891E76">
        <w:rPr>
          <w:rFonts w:eastAsiaTheme="minorHAnsi"/>
          <w:i/>
          <w:iCs/>
          <w:sz w:val="20"/>
          <w:szCs w:val="20"/>
          <w:lang w:eastAsia="en-US"/>
        </w:rPr>
        <w:t>MNRAS</w:t>
      </w:r>
      <w:r w:rsidRPr="00891E76">
        <w:rPr>
          <w:rFonts w:eastAsiaTheme="minorHAnsi"/>
          <w:sz w:val="20"/>
          <w:szCs w:val="20"/>
          <w:lang w:eastAsia="en-US"/>
        </w:rPr>
        <w:t xml:space="preserve"> </w:t>
      </w:r>
      <w:r w:rsidRPr="00891E76">
        <w:rPr>
          <w:rFonts w:eastAsiaTheme="minorHAnsi"/>
          <w:b/>
          <w:bCs/>
          <w:sz w:val="20"/>
          <w:szCs w:val="20"/>
          <w:lang w:eastAsia="en-US"/>
        </w:rPr>
        <w:t>183</w:t>
      </w:r>
    </w:p>
    <w:p w14:paraId="6E79E8FD" w14:textId="0FEA24EB" w:rsidR="004C593C" w:rsidRPr="00891E76" w:rsidRDefault="004C593C" w:rsidP="004019E5">
      <w:pPr>
        <w:autoSpaceDE w:val="0"/>
        <w:autoSpaceDN w:val="0"/>
        <w:adjustRightInd w:val="0"/>
        <w:ind w:firstLine="340"/>
        <w:jc w:val="both"/>
        <w:rPr>
          <w:rFonts w:eastAsiaTheme="minorHAnsi"/>
          <w:sz w:val="20"/>
          <w:szCs w:val="20"/>
          <w:lang w:eastAsia="en-US"/>
        </w:rPr>
      </w:pPr>
      <w:r w:rsidRPr="00891E76">
        <w:rPr>
          <w:rFonts w:eastAsiaTheme="minorHAnsi"/>
          <w:sz w:val="20"/>
          <w:szCs w:val="20"/>
          <w:lang w:eastAsia="en-US"/>
        </w:rPr>
        <w:t>29</w:t>
      </w:r>
    </w:p>
    <w:p w14:paraId="6CE52DA4" w14:textId="06DFCCD4" w:rsidR="004C593C" w:rsidRPr="00891E76" w:rsidRDefault="004C593C" w:rsidP="004019E5">
      <w:pPr>
        <w:widowControl w:val="0"/>
        <w:adjustRightInd w:val="0"/>
        <w:snapToGrid w:val="0"/>
        <w:ind w:left="340" w:hanging="340"/>
        <w:jc w:val="both"/>
        <w:rPr>
          <w:color w:val="000000"/>
          <w:sz w:val="20"/>
          <w:shd w:val="clear" w:color="auto" w:fill="FFFFFF"/>
        </w:rPr>
      </w:pPr>
      <w:r w:rsidRPr="00891E76">
        <w:rPr>
          <w:rFonts w:eastAsiaTheme="minorEastAsia"/>
          <w:color w:val="231F20"/>
          <w:sz w:val="20"/>
          <w:szCs w:val="20"/>
          <w:lang w:val="en-US"/>
        </w:rPr>
        <w:t>[</w:t>
      </w:r>
      <w:r w:rsidR="00B01EC7" w:rsidRPr="00891E76">
        <w:rPr>
          <w:rFonts w:eastAsiaTheme="minorEastAsia"/>
          <w:color w:val="231F20"/>
          <w:sz w:val="20"/>
          <w:szCs w:val="20"/>
          <w:lang w:val="en-US"/>
        </w:rPr>
        <w:t>17</w:t>
      </w:r>
      <w:r w:rsidRPr="00891E76">
        <w:rPr>
          <w:rFonts w:eastAsiaTheme="minorEastAsia"/>
          <w:color w:val="231F20"/>
          <w:sz w:val="20"/>
          <w:szCs w:val="20"/>
          <w:lang w:val="en-US"/>
        </w:rPr>
        <w:t xml:space="preserve">] </w:t>
      </w:r>
      <w:r w:rsidRPr="00891E76">
        <w:rPr>
          <w:rFonts w:eastAsiaTheme="minorHAnsi"/>
          <w:sz w:val="20"/>
          <w:szCs w:val="20"/>
          <w:lang w:val="en-US" w:eastAsia="en-US"/>
        </w:rPr>
        <w:t>Chiuderi C., Pietrini P and Torricelli</w:t>
      </w:r>
      <w:r w:rsidR="003973F0" w:rsidRPr="00891E76">
        <w:rPr>
          <w:rFonts w:eastAsiaTheme="minorHAnsi"/>
          <w:sz w:val="20"/>
          <w:szCs w:val="20"/>
          <w:lang w:val="en-US" w:eastAsia="en-US"/>
        </w:rPr>
        <w:t>-</w:t>
      </w:r>
      <w:r w:rsidRPr="00891E76">
        <w:rPr>
          <w:rFonts w:eastAsiaTheme="minorHAnsi"/>
          <w:sz w:val="20"/>
          <w:szCs w:val="20"/>
          <w:lang w:val="en-US" w:eastAsia="en-US"/>
        </w:rPr>
        <w:t xml:space="preserve">Ciamponi G. 1989 </w:t>
      </w:r>
      <w:r w:rsidRPr="00891E76">
        <w:rPr>
          <w:rFonts w:eastAsiaTheme="minorHAnsi"/>
          <w:sz w:val="20"/>
          <w:szCs w:val="20"/>
          <w:lang w:eastAsia="en-US"/>
        </w:rPr>
        <w:t xml:space="preserve">Extragalactic Jets as Current-Carrying Systems. I. Equilibrium and Stability </w:t>
      </w:r>
      <w:r w:rsidRPr="00891E76">
        <w:rPr>
          <w:i/>
          <w:iCs/>
          <w:color w:val="000000"/>
          <w:sz w:val="20"/>
          <w:shd w:val="clear" w:color="auto" w:fill="FFFFFF"/>
        </w:rPr>
        <w:t>Astrophysical Journal</w:t>
      </w:r>
      <w:r w:rsidRPr="00891E76">
        <w:rPr>
          <w:color w:val="000000"/>
          <w:sz w:val="20"/>
          <w:shd w:val="clear" w:color="auto" w:fill="FFFFFF"/>
        </w:rPr>
        <w:t xml:space="preserve"> </w:t>
      </w:r>
      <w:r w:rsidRPr="00891E76">
        <w:rPr>
          <w:b/>
          <w:bCs/>
          <w:color w:val="000000"/>
          <w:sz w:val="20"/>
          <w:shd w:val="clear" w:color="auto" w:fill="FFFFFF"/>
          <w:lang w:val="en-US"/>
        </w:rPr>
        <w:t>339</w:t>
      </w:r>
      <w:r w:rsidRPr="00891E76">
        <w:rPr>
          <w:color w:val="000000"/>
          <w:sz w:val="20"/>
          <w:shd w:val="clear" w:color="auto" w:fill="FFFFFF"/>
          <w:lang w:val="en-US"/>
        </w:rPr>
        <w:t xml:space="preserve"> 70</w:t>
      </w:r>
      <w:r w:rsidRPr="00891E76">
        <w:rPr>
          <w:color w:val="000000"/>
          <w:sz w:val="20"/>
          <w:shd w:val="clear" w:color="auto" w:fill="FFFFFF"/>
        </w:rPr>
        <w:t xml:space="preserve"> </w:t>
      </w:r>
    </w:p>
    <w:p w14:paraId="579039A3" w14:textId="04B24CC5" w:rsidR="006E3457" w:rsidRPr="00891E76" w:rsidRDefault="004C593C" w:rsidP="004019E5">
      <w:pPr>
        <w:autoSpaceDE w:val="0"/>
        <w:autoSpaceDN w:val="0"/>
        <w:adjustRightInd w:val="0"/>
        <w:jc w:val="both"/>
        <w:rPr>
          <w:rFonts w:eastAsiaTheme="minorHAnsi"/>
          <w:sz w:val="20"/>
          <w:szCs w:val="20"/>
          <w:lang w:eastAsia="en-US"/>
        </w:rPr>
      </w:pPr>
      <w:r w:rsidRPr="00891E76">
        <w:rPr>
          <w:rFonts w:eastAsiaTheme="minorEastAsia"/>
          <w:color w:val="231F20"/>
          <w:sz w:val="20"/>
          <w:szCs w:val="20"/>
          <w:lang w:val="en-US"/>
        </w:rPr>
        <w:t>[</w:t>
      </w:r>
      <w:r w:rsidR="00B01EC7" w:rsidRPr="00891E76">
        <w:rPr>
          <w:rFonts w:eastAsiaTheme="minorEastAsia"/>
          <w:color w:val="231F20"/>
          <w:sz w:val="20"/>
          <w:szCs w:val="20"/>
          <w:lang w:val="en-US"/>
        </w:rPr>
        <w:t>18</w:t>
      </w:r>
      <w:r w:rsidRPr="00891E76">
        <w:rPr>
          <w:rFonts w:eastAsiaTheme="minorEastAsia"/>
          <w:color w:val="231F20"/>
          <w:sz w:val="20"/>
          <w:szCs w:val="20"/>
          <w:lang w:val="en-US"/>
        </w:rPr>
        <w:t xml:space="preserve">] </w:t>
      </w:r>
      <w:r w:rsidRPr="00891E76">
        <w:rPr>
          <w:rFonts w:eastAsiaTheme="minorHAnsi"/>
          <w:sz w:val="20"/>
          <w:szCs w:val="20"/>
          <w:lang w:val="en-US" w:eastAsia="en-US"/>
        </w:rPr>
        <w:t xml:space="preserve">Corbelli E. and Veltri P. 1989 </w:t>
      </w:r>
      <w:r w:rsidRPr="00891E76">
        <w:rPr>
          <w:rFonts w:eastAsiaTheme="minorHAnsi"/>
          <w:sz w:val="20"/>
          <w:szCs w:val="20"/>
          <w:lang w:eastAsia="en-US"/>
        </w:rPr>
        <w:t>Extragalactic Jets as Current Carrying Systems. II. Magnetohydrodynamic</w:t>
      </w:r>
    </w:p>
    <w:p w14:paraId="328822AF" w14:textId="0CED2E6A" w:rsidR="004C593C" w:rsidRPr="00891E76" w:rsidRDefault="006E3457" w:rsidP="004019E5">
      <w:pPr>
        <w:autoSpaceDE w:val="0"/>
        <w:autoSpaceDN w:val="0"/>
        <w:adjustRightInd w:val="0"/>
        <w:jc w:val="both"/>
        <w:rPr>
          <w:rFonts w:eastAsiaTheme="minorHAnsi"/>
          <w:sz w:val="20"/>
          <w:szCs w:val="20"/>
          <w:lang w:eastAsia="en-US"/>
        </w:rPr>
      </w:pPr>
      <w:r w:rsidRPr="00891E76">
        <w:rPr>
          <w:rFonts w:eastAsiaTheme="minorHAnsi"/>
          <w:sz w:val="20"/>
          <w:szCs w:val="20"/>
          <w:lang w:eastAsia="en-US"/>
        </w:rPr>
        <w:t xml:space="preserve">        </w:t>
      </w:r>
      <w:r w:rsidR="004C593C" w:rsidRPr="00891E76">
        <w:rPr>
          <w:rFonts w:eastAsiaTheme="minorHAnsi"/>
          <w:sz w:val="20"/>
          <w:szCs w:val="20"/>
          <w:lang w:eastAsia="en-US"/>
        </w:rPr>
        <w:t xml:space="preserve">Turbulence, Relativistic Electron Distribution, and Observable Quantities </w:t>
      </w:r>
      <w:r w:rsidR="004C593C" w:rsidRPr="00891E76">
        <w:rPr>
          <w:i/>
          <w:iCs/>
          <w:color w:val="000000"/>
          <w:sz w:val="20"/>
          <w:shd w:val="clear" w:color="auto" w:fill="FFFFFF"/>
        </w:rPr>
        <w:t>Astrophysical Journal</w:t>
      </w:r>
      <w:r w:rsidR="004C593C" w:rsidRPr="00891E76">
        <w:rPr>
          <w:color w:val="000000"/>
          <w:sz w:val="20"/>
          <w:shd w:val="clear" w:color="auto" w:fill="FFFFFF"/>
        </w:rPr>
        <w:t xml:space="preserve"> </w:t>
      </w:r>
      <w:r w:rsidR="004C593C" w:rsidRPr="00891E76">
        <w:rPr>
          <w:b/>
          <w:bCs/>
          <w:color w:val="000000"/>
          <w:sz w:val="20"/>
          <w:shd w:val="clear" w:color="auto" w:fill="FFFFFF"/>
          <w:lang w:val="en-US"/>
        </w:rPr>
        <w:t>3</w:t>
      </w:r>
      <w:r w:rsidRPr="00891E76">
        <w:rPr>
          <w:b/>
          <w:bCs/>
          <w:color w:val="000000"/>
          <w:sz w:val="20"/>
          <w:shd w:val="clear" w:color="auto" w:fill="FFFFFF"/>
          <w:lang w:val="en-US"/>
        </w:rPr>
        <w:t>40</w:t>
      </w:r>
      <w:r w:rsidR="004C593C" w:rsidRPr="00891E76">
        <w:rPr>
          <w:color w:val="000000"/>
          <w:sz w:val="20"/>
          <w:shd w:val="clear" w:color="auto" w:fill="FFFFFF"/>
          <w:lang w:val="en-US"/>
        </w:rPr>
        <w:t xml:space="preserve"> </w:t>
      </w:r>
      <w:r w:rsidRPr="00891E76">
        <w:rPr>
          <w:color w:val="000000"/>
          <w:sz w:val="20"/>
          <w:shd w:val="clear" w:color="auto" w:fill="FFFFFF"/>
          <w:lang w:val="en-US"/>
        </w:rPr>
        <w:t>679</w:t>
      </w:r>
      <w:r w:rsidR="004C593C" w:rsidRPr="00891E76">
        <w:rPr>
          <w:color w:val="000000"/>
          <w:sz w:val="20"/>
          <w:shd w:val="clear" w:color="auto" w:fill="FFFFFF"/>
        </w:rPr>
        <w:t xml:space="preserve"> </w:t>
      </w:r>
    </w:p>
    <w:p w14:paraId="5DFDC5FF" w14:textId="11D52E08" w:rsidR="0071333C" w:rsidRPr="00891E76" w:rsidRDefault="0071333C" w:rsidP="004019E5">
      <w:pPr>
        <w:jc w:val="both"/>
        <w:rPr>
          <w:sz w:val="20"/>
          <w:szCs w:val="20"/>
        </w:rPr>
      </w:pPr>
      <w:r w:rsidRPr="00891E76">
        <w:rPr>
          <w:color w:val="000000" w:themeColor="text1"/>
          <w:sz w:val="20"/>
          <w:szCs w:val="20"/>
        </w:rPr>
        <w:t>[</w:t>
      </w:r>
      <w:r w:rsidR="00B01EC7" w:rsidRPr="00891E76">
        <w:rPr>
          <w:color w:val="000000" w:themeColor="text1"/>
          <w:sz w:val="20"/>
          <w:szCs w:val="20"/>
          <w:lang w:val="en-US"/>
        </w:rPr>
        <w:t>19</w:t>
      </w:r>
      <w:r w:rsidRPr="00891E76">
        <w:rPr>
          <w:color w:val="000000" w:themeColor="text1"/>
          <w:sz w:val="20"/>
          <w:szCs w:val="20"/>
        </w:rPr>
        <w:t xml:space="preserve">] </w:t>
      </w:r>
      <w:r w:rsidRPr="00891E76">
        <w:rPr>
          <w:sz w:val="20"/>
          <w:szCs w:val="20"/>
          <w:lang w:val="en-US"/>
        </w:rPr>
        <w:t>Coroniti F.V.</w:t>
      </w:r>
      <w:r w:rsidR="00065510" w:rsidRPr="00891E76">
        <w:rPr>
          <w:sz w:val="20"/>
          <w:szCs w:val="20"/>
          <w:lang w:val="en-US"/>
        </w:rPr>
        <w:t xml:space="preserve"> 1990 Magnetically striped relativistic magnetohydrodynamic winds: the Crab Nebula Revisited </w:t>
      </w:r>
      <w:r w:rsidR="00065510" w:rsidRPr="00891E76">
        <w:rPr>
          <w:i/>
          <w:iCs/>
          <w:color w:val="000000"/>
          <w:sz w:val="20"/>
          <w:szCs w:val="20"/>
          <w:shd w:val="clear" w:color="auto" w:fill="FFFFFF"/>
        </w:rPr>
        <w:t>Astrophysical Journal</w:t>
      </w:r>
      <w:r w:rsidR="00065510" w:rsidRPr="00891E76">
        <w:rPr>
          <w:color w:val="000000"/>
          <w:sz w:val="20"/>
          <w:szCs w:val="20"/>
          <w:shd w:val="clear" w:color="auto" w:fill="FFFFFF"/>
        </w:rPr>
        <w:t xml:space="preserve"> </w:t>
      </w:r>
      <w:r w:rsidR="00065510" w:rsidRPr="00891E76">
        <w:rPr>
          <w:b/>
          <w:bCs/>
          <w:color w:val="000000"/>
          <w:sz w:val="20"/>
          <w:szCs w:val="20"/>
          <w:shd w:val="clear" w:color="auto" w:fill="FFFFFF"/>
          <w:lang w:val="en-US"/>
        </w:rPr>
        <w:t>349</w:t>
      </w:r>
      <w:r w:rsidR="00065510" w:rsidRPr="00891E76">
        <w:rPr>
          <w:color w:val="000000"/>
          <w:sz w:val="20"/>
          <w:szCs w:val="20"/>
          <w:shd w:val="clear" w:color="auto" w:fill="FFFFFF"/>
        </w:rPr>
        <w:t xml:space="preserve"> </w:t>
      </w:r>
      <w:r w:rsidR="00065510" w:rsidRPr="00891E76">
        <w:rPr>
          <w:sz w:val="20"/>
          <w:szCs w:val="20"/>
        </w:rPr>
        <w:t>538-545</w:t>
      </w:r>
    </w:p>
    <w:p w14:paraId="3886519F" w14:textId="5A7B3979"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rPr>
        <w:t>[</w:t>
      </w:r>
      <w:r w:rsidR="00E54A7E" w:rsidRPr="00891E76">
        <w:rPr>
          <w:sz w:val="20"/>
        </w:rPr>
        <w:t>20</w:t>
      </w:r>
      <w:r w:rsidRPr="00891E76">
        <w:rPr>
          <w:sz w:val="20"/>
        </w:rPr>
        <w:t xml:space="preserve">] Spruit H.C. 2013 Essential magnetohydrodynamics for astrophysics </w:t>
      </w:r>
      <w:r w:rsidRPr="00891E76">
        <w:rPr>
          <w:sz w:val="20"/>
          <w:lang w:val="en-US"/>
        </w:rPr>
        <w:t>(</w:t>
      </w:r>
      <w:hyperlink r:id="rId26" w:history="1">
        <w:r w:rsidRPr="00891E76">
          <w:rPr>
            <w:rStyle w:val="Hyperlink"/>
            <w:sz w:val="20"/>
            <w:lang w:val="en-US"/>
          </w:rPr>
          <w:t>http://arxiv.org/abs/1301.5572</w:t>
        </w:r>
      </w:hyperlink>
      <w:r w:rsidRPr="00891E76">
        <w:rPr>
          <w:sz w:val="20"/>
          <w:lang w:val="en-US"/>
        </w:rPr>
        <w:t>)</w:t>
      </w:r>
    </w:p>
    <w:p w14:paraId="13F61CA0" w14:textId="19619711" w:rsidR="000C28C4" w:rsidRPr="00891E76" w:rsidRDefault="000C28C4" w:rsidP="004019E5">
      <w:pPr>
        <w:widowControl w:val="0"/>
        <w:tabs>
          <w:tab w:val="num" w:pos="720"/>
        </w:tabs>
        <w:adjustRightInd w:val="0"/>
        <w:snapToGrid w:val="0"/>
        <w:ind w:left="340" w:hanging="340"/>
        <w:jc w:val="both"/>
        <w:rPr>
          <w:color w:val="000000" w:themeColor="text1"/>
          <w:sz w:val="20"/>
          <w:szCs w:val="20"/>
        </w:rPr>
      </w:pPr>
      <w:r w:rsidRPr="00891E76">
        <w:rPr>
          <w:sz w:val="20"/>
          <w:szCs w:val="20"/>
          <w:lang w:val="en-US"/>
        </w:rPr>
        <w:t>[</w:t>
      </w:r>
      <w:r w:rsidR="00E54A7E" w:rsidRPr="00891E76">
        <w:rPr>
          <w:sz w:val="20"/>
          <w:szCs w:val="20"/>
          <w:lang w:val="en-US"/>
        </w:rPr>
        <w:t>21</w:t>
      </w:r>
      <w:r w:rsidRPr="00891E76">
        <w:rPr>
          <w:sz w:val="20"/>
          <w:szCs w:val="20"/>
          <w:lang w:val="en-US"/>
        </w:rPr>
        <w:t xml:space="preserve">] </w:t>
      </w:r>
      <w:r w:rsidRPr="00891E76">
        <w:rPr>
          <w:color w:val="000000" w:themeColor="text1"/>
          <w:sz w:val="20"/>
          <w:szCs w:val="20"/>
        </w:rPr>
        <w:t xml:space="preserve">Velasco Fuentes, O. 2014 Early observations and experiments on ring vortices </w:t>
      </w:r>
      <w:r w:rsidRPr="00891E76">
        <w:rPr>
          <w:i/>
          <w:iCs/>
          <w:color w:val="000000" w:themeColor="text1"/>
          <w:sz w:val="20"/>
          <w:szCs w:val="20"/>
        </w:rPr>
        <w:t>European Journal of Mechanics B/Fluids</w:t>
      </w:r>
      <w:r w:rsidRPr="00891E76">
        <w:rPr>
          <w:color w:val="000000" w:themeColor="text1"/>
          <w:sz w:val="20"/>
          <w:szCs w:val="20"/>
        </w:rPr>
        <w:t xml:space="preserve"> </w:t>
      </w:r>
      <w:r w:rsidRPr="00891E76">
        <w:rPr>
          <w:b/>
          <w:bCs/>
          <w:color w:val="000000" w:themeColor="text1"/>
          <w:sz w:val="20"/>
          <w:szCs w:val="20"/>
        </w:rPr>
        <w:t>43</w:t>
      </w:r>
      <w:r w:rsidRPr="00891E76">
        <w:rPr>
          <w:color w:val="000000" w:themeColor="text1"/>
          <w:sz w:val="20"/>
          <w:szCs w:val="20"/>
        </w:rPr>
        <w:t xml:space="preserve"> 166–171</w:t>
      </w:r>
    </w:p>
    <w:p w14:paraId="63B4F420" w14:textId="3E645178"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E54A7E" w:rsidRPr="00891E76">
        <w:rPr>
          <w:sz w:val="20"/>
          <w:szCs w:val="20"/>
          <w:lang w:val="en-US"/>
        </w:rPr>
        <w:t>22</w:t>
      </w:r>
      <w:r w:rsidRPr="00891E76">
        <w:rPr>
          <w:sz w:val="20"/>
          <w:szCs w:val="20"/>
          <w:lang w:val="en-US"/>
        </w:rPr>
        <w:t xml:space="preserve">] </w:t>
      </w:r>
      <w:r w:rsidRPr="00891E76">
        <w:rPr>
          <w:rFonts w:eastAsiaTheme="minorEastAsia"/>
          <w:sz w:val="20"/>
          <w:szCs w:val="20"/>
        </w:rPr>
        <w:t xml:space="preserve">Paulos R.D., Trone M. &amp; Kuczaj S.A. 201 Play in Wild and Captive Cetaceans </w:t>
      </w:r>
      <w:r w:rsidRPr="00891E76">
        <w:rPr>
          <w:rFonts w:eastAsiaTheme="minorEastAsia"/>
          <w:i/>
          <w:iCs/>
          <w:sz w:val="20"/>
          <w:szCs w:val="20"/>
        </w:rPr>
        <w:t>International Journal of Comparative Psychology</w:t>
      </w:r>
      <w:r w:rsidRPr="00891E76">
        <w:rPr>
          <w:rFonts w:eastAsiaTheme="minorEastAsia"/>
          <w:sz w:val="20"/>
          <w:szCs w:val="20"/>
        </w:rPr>
        <w:t xml:space="preserve"> </w:t>
      </w:r>
      <w:r w:rsidRPr="00891E76">
        <w:rPr>
          <w:rFonts w:eastAsiaTheme="minorEastAsia"/>
          <w:b/>
          <w:bCs/>
          <w:sz w:val="20"/>
          <w:szCs w:val="20"/>
        </w:rPr>
        <w:t>23</w:t>
      </w:r>
      <w:r w:rsidRPr="00891E76">
        <w:rPr>
          <w:rFonts w:eastAsiaTheme="minorEastAsia"/>
          <w:sz w:val="20"/>
          <w:szCs w:val="20"/>
        </w:rPr>
        <w:t xml:space="preserve"> 701-722</w:t>
      </w:r>
      <w:r w:rsidRPr="00891E76">
        <w:rPr>
          <w:sz w:val="20"/>
          <w:szCs w:val="20"/>
        </w:rPr>
        <w:t xml:space="preserve"> </w:t>
      </w:r>
    </w:p>
    <w:p w14:paraId="30064CD6" w14:textId="70D6405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E54A7E" w:rsidRPr="00891E76">
        <w:rPr>
          <w:sz w:val="20"/>
          <w:szCs w:val="20"/>
          <w:lang w:val="en-US"/>
        </w:rPr>
        <w:t>23</w:t>
      </w:r>
      <w:r w:rsidRPr="00891E76">
        <w:rPr>
          <w:sz w:val="20"/>
          <w:szCs w:val="20"/>
        </w:rPr>
        <w:t xml:space="preserve">] Zweibel E.G. &amp; Yamada M. 2016 Perspectives on magnetic reconnection </w:t>
      </w:r>
      <w:r w:rsidRPr="00891E76">
        <w:rPr>
          <w:i/>
          <w:iCs/>
          <w:sz w:val="20"/>
          <w:szCs w:val="20"/>
        </w:rPr>
        <w:t>Proc. R. Soc. A</w:t>
      </w:r>
      <w:r w:rsidRPr="00891E76">
        <w:rPr>
          <w:sz w:val="20"/>
          <w:szCs w:val="20"/>
        </w:rPr>
        <w:t xml:space="preserve"> </w:t>
      </w:r>
      <w:r w:rsidRPr="00891E76">
        <w:rPr>
          <w:b/>
          <w:bCs/>
          <w:sz w:val="20"/>
          <w:szCs w:val="20"/>
        </w:rPr>
        <w:t>472</w:t>
      </w:r>
      <w:r w:rsidRPr="00891E76">
        <w:rPr>
          <w:sz w:val="20"/>
          <w:szCs w:val="20"/>
        </w:rPr>
        <w:t xml:space="preserve"> 20160479 </w:t>
      </w:r>
    </w:p>
    <w:p w14:paraId="7CBE8614" w14:textId="373E1B96"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lastRenderedPageBreak/>
        <w:t>[</w:t>
      </w:r>
      <w:r w:rsidR="00E54A7E" w:rsidRPr="00891E76">
        <w:rPr>
          <w:sz w:val="20"/>
          <w:szCs w:val="20"/>
          <w:lang w:val="en-US"/>
        </w:rPr>
        <w:t>24</w:t>
      </w:r>
      <w:r w:rsidRPr="00891E76">
        <w:rPr>
          <w:sz w:val="20"/>
          <w:szCs w:val="20"/>
        </w:rPr>
        <w:t xml:space="preserve">] </w:t>
      </w:r>
      <w:r w:rsidRPr="00891E76">
        <w:rPr>
          <w:rFonts w:eastAsiaTheme="minorEastAsia"/>
          <w:color w:val="231F20"/>
          <w:sz w:val="20"/>
          <w:szCs w:val="20"/>
        </w:rPr>
        <w:t xml:space="preserve">Loueiro, N.F. &amp; Uzdensky, D.A. 2016 Magnetic reconnection: from the Sweet-Parker model to stochastic plasmoid chains </w:t>
      </w:r>
      <w:r w:rsidRPr="00891E76">
        <w:rPr>
          <w:rFonts w:eastAsiaTheme="minorEastAsia"/>
          <w:i/>
          <w:iCs/>
          <w:color w:val="231F20"/>
          <w:sz w:val="20"/>
          <w:szCs w:val="20"/>
        </w:rPr>
        <w:t>Plasma Phys. Control. Fusion</w:t>
      </w:r>
      <w:r w:rsidRPr="00891E76">
        <w:rPr>
          <w:rFonts w:eastAsiaTheme="minorEastAsia"/>
          <w:color w:val="231F20"/>
          <w:sz w:val="20"/>
          <w:szCs w:val="20"/>
        </w:rPr>
        <w:t xml:space="preserve"> </w:t>
      </w:r>
      <w:r w:rsidRPr="00891E76">
        <w:rPr>
          <w:rFonts w:eastAsiaTheme="minorEastAsia"/>
          <w:b/>
          <w:bCs/>
          <w:color w:val="231F20"/>
          <w:sz w:val="20"/>
          <w:szCs w:val="20"/>
        </w:rPr>
        <w:t>58</w:t>
      </w:r>
      <w:r w:rsidRPr="00891E76">
        <w:rPr>
          <w:rFonts w:eastAsiaTheme="minorEastAsia"/>
          <w:color w:val="231F20"/>
          <w:sz w:val="20"/>
          <w:szCs w:val="20"/>
        </w:rPr>
        <w:t xml:space="preserve"> 014021</w:t>
      </w:r>
    </w:p>
    <w:p w14:paraId="342AB363" w14:textId="7C98E948"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w:t>
      </w:r>
      <w:r w:rsidR="00E54A7E" w:rsidRPr="00891E76">
        <w:rPr>
          <w:sz w:val="20"/>
          <w:szCs w:val="20"/>
          <w:lang w:val="en-US"/>
        </w:rPr>
        <w:t>25</w:t>
      </w:r>
      <w:r w:rsidRPr="00891E76">
        <w:rPr>
          <w:sz w:val="20"/>
          <w:szCs w:val="20"/>
        </w:rPr>
        <w:t xml:space="preserve">] </w:t>
      </w:r>
      <w:r w:rsidRPr="00891E76">
        <w:rPr>
          <w:rFonts w:eastAsiaTheme="minorEastAsia"/>
          <w:color w:val="231F20"/>
          <w:sz w:val="20"/>
          <w:szCs w:val="20"/>
        </w:rPr>
        <w:t xml:space="preserve">Bühler </w:t>
      </w:r>
      <w:r w:rsidRPr="00891E76">
        <w:rPr>
          <w:sz w:val="20"/>
          <w:szCs w:val="20"/>
        </w:rPr>
        <w:t xml:space="preserve">R. &amp; </w:t>
      </w:r>
      <w:r w:rsidRPr="00891E76">
        <w:rPr>
          <w:rFonts w:eastAsiaTheme="minorEastAsia"/>
          <w:color w:val="231F20"/>
          <w:sz w:val="20"/>
          <w:szCs w:val="20"/>
        </w:rPr>
        <w:t xml:space="preserve">Blandford R. 2014 The surprising Crab pulsar and its nebula: a review </w:t>
      </w:r>
      <w:r w:rsidRPr="00891E76">
        <w:rPr>
          <w:rFonts w:eastAsiaTheme="minorEastAsia"/>
          <w:i/>
          <w:iCs/>
          <w:color w:val="231F20"/>
          <w:sz w:val="20"/>
          <w:szCs w:val="20"/>
        </w:rPr>
        <w:t xml:space="preserve">Rep. Prog. Phys. </w:t>
      </w:r>
      <w:r w:rsidRPr="00891E76">
        <w:rPr>
          <w:rFonts w:eastAsiaTheme="minorEastAsia"/>
          <w:b/>
          <w:bCs/>
          <w:color w:val="231F20"/>
          <w:sz w:val="20"/>
          <w:szCs w:val="20"/>
        </w:rPr>
        <w:t>77</w:t>
      </w:r>
      <w:r w:rsidRPr="00891E76">
        <w:rPr>
          <w:rFonts w:eastAsiaTheme="minorEastAsia"/>
          <w:color w:val="231F20"/>
          <w:sz w:val="20"/>
          <w:szCs w:val="20"/>
        </w:rPr>
        <w:t xml:space="preserve"> 066901</w:t>
      </w:r>
    </w:p>
    <w:p w14:paraId="6530BC32" w14:textId="29C8EDEF" w:rsidR="000C28C4" w:rsidRPr="00891E76" w:rsidRDefault="000C28C4" w:rsidP="004019E5">
      <w:pPr>
        <w:widowControl w:val="0"/>
        <w:adjustRightInd w:val="0"/>
        <w:snapToGrid w:val="0"/>
        <w:ind w:left="340" w:hanging="340"/>
        <w:jc w:val="both"/>
        <w:rPr>
          <w:sz w:val="20"/>
          <w:szCs w:val="20"/>
        </w:rPr>
      </w:pPr>
      <w:r w:rsidRPr="00891E76">
        <w:rPr>
          <w:sz w:val="20"/>
          <w:szCs w:val="20"/>
        </w:rPr>
        <w:t>[2</w:t>
      </w:r>
      <w:r w:rsidR="00A61AEB" w:rsidRPr="00891E76">
        <w:rPr>
          <w:sz w:val="20"/>
          <w:szCs w:val="20"/>
          <w:lang w:val="en-US"/>
        </w:rPr>
        <w:t>6</w:t>
      </w:r>
      <w:r w:rsidRPr="00891E76">
        <w:rPr>
          <w:sz w:val="20"/>
          <w:szCs w:val="20"/>
        </w:rPr>
        <w:t xml:space="preserve">] </w:t>
      </w:r>
      <w:r w:rsidRPr="00891E76">
        <w:rPr>
          <w:color w:val="000000" w:themeColor="text1"/>
          <w:sz w:val="20"/>
          <w:szCs w:val="20"/>
        </w:rPr>
        <w:t>Parker</w:t>
      </w:r>
      <w:r w:rsidRPr="00891E76">
        <w:rPr>
          <w:rFonts w:eastAsiaTheme="minorEastAsia"/>
          <w:color w:val="000000" w:themeColor="text1"/>
          <w:sz w:val="20"/>
          <w:szCs w:val="20"/>
        </w:rPr>
        <w:t xml:space="preserve"> </w:t>
      </w:r>
      <w:r w:rsidRPr="00891E76">
        <w:rPr>
          <w:color w:val="000000" w:themeColor="text1"/>
          <w:sz w:val="20"/>
          <w:szCs w:val="20"/>
        </w:rPr>
        <w:t xml:space="preserve">E.N. </w:t>
      </w:r>
      <w:r w:rsidRPr="00891E76">
        <w:rPr>
          <w:rFonts w:eastAsiaTheme="minorEastAsia"/>
          <w:color w:val="000000" w:themeColor="text1"/>
          <w:sz w:val="20"/>
          <w:szCs w:val="20"/>
        </w:rPr>
        <w:t>1990 Intrinsic magnetic discontinuities and solar X</w:t>
      </w:r>
      <w:r w:rsidRPr="00891E76">
        <w:rPr>
          <w:rFonts w:ascii="Calibri" w:eastAsia="Calibri" w:hAnsi="Calibri" w:cs="Calibri"/>
          <w:color w:val="000000" w:themeColor="text1"/>
          <w:sz w:val="20"/>
          <w:szCs w:val="20"/>
        </w:rPr>
        <w:t>‐</w:t>
      </w:r>
      <w:r w:rsidRPr="00891E76">
        <w:rPr>
          <w:rFonts w:eastAsiaTheme="minorEastAsia"/>
          <w:color w:val="000000" w:themeColor="text1"/>
          <w:sz w:val="20"/>
          <w:szCs w:val="20"/>
        </w:rPr>
        <w:t xml:space="preserve">ray emission </w:t>
      </w:r>
      <w:r w:rsidRPr="00891E76">
        <w:rPr>
          <w:rFonts w:eastAsiaTheme="minorEastAsia"/>
          <w:i/>
          <w:iCs/>
          <w:color w:val="000000" w:themeColor="text1"/>
          <w:sz w:val="20"/>
          <w:szCs w:val="20"/>
        </w:rPr>
        <w:t>Geophys. Res. Lett.</w:t>
      </w:r>
      <w:r w:rsidRPr="00891E76">
        <w:rPr>
          <w:rFonts w:eastAsiaTheme="minorEastAsia"/>
          <w:color w:val="000000" w:themeColor="text1"/>
          <w:sz w:val="20"/>
          <w:szCs w:val="20"/>
        </w:rPr>
        <w:t xml:space="preserve"> </w:t>
      </w:r>
      <w:r w:rsidRPr="00891E76">
        <w:rPr>
          <w:rFonts w:eastAsiaTheme="minorEastAsia"/>
          <w:b/>
          <w:bCs/>
          <w:color w:val="000000" w:themeColor="text1"/>
          <w:sz w:val="20"/>
          <w:szCs w:val="20"/>
        </w:rPr>
        <w:t>17</w:t>
      </w:r>
      <w:r w:rsidRPr="00891E76">
        <w:rPr>
          <w:sz w:val="20"/>
          <w:szCs w:val="20"/>
        </w:rPr>
        <w:t xml:space="preserve"> </w:t>
      </w:r>
      <w:r w:rsidRPr="00891E76">
        <w:rPr>
          <w:rFonts w:eastAsiaTheme="minorEastAsia"/>
          <w:color w:val="000000" w:themeColor="text1"/>
          <w:sz w:val="20"/>
          <w:szCs w:val="20"/>
        </w:rPr>
        <w:t xml:space="preserve">2055 </w:t>
      </w:r>
    </w:p>
    <w:p w14:paraId="19B0C533" w14:textId="29C610BB" w:rsidR="000C28C4" w:rsidRPr="00891E76" w:rsidRDefault="000C28C4" w:rsidP="004019E5">
      <w:pPr>
        <w:widowControl w:val="0"/>
        <w:tabs>
          <w:tab w:val="num" w:pos="720"/>
        </w:tabs>
        <w:adjustRightInd w:val="0"/>
        <w:snapToGrid w:val="0"/>
        <w:ind w:left="340" w:hanging="340"/>
        <w:jc w:val="both"/>
        <w:rPr>
          <w:color w:val="000000" w:themeColor="text1"/>
          <w:sz w:val="20"/>
          <w:szCs w:val="20"/>
          <w:lang w:val="en-US"/>
        </w:rPr>
      </w:pPr>
      <w:r w:rsidRPr="00891E76">
        <w:rPr>
          <w:sz w:val="20"/>
          <w:szCs w:val="20"/>
        </w:rPr>
        <w:t>[2</w:t>
      </w:r>
      <w:r w:rsidR="00A61AEB" w:rsidRPr="00891E76">
        <w:rPr>
          <w:sz w:val="20"/>
          <w:szCs w:val="20"/>
          <w:lang w:val="en-US"/>
        </w:rPr>
        <w:t>7</w:t>
      </w:r>
      <w:r w:rsidRPr="00891E76">
        <w:rPr>
          <w:sz w:val="20"/>
          <w:szCs w:val="20"/>
        </w:rPr>
        <w:t xml:space="preserve">] Zweibel, E.G. &amp; Yamada M. 2009 Magnetic Reconnection in Astrophysical and Laboratory Plasmas. </w:t>
      </w:r>
      <w:r w:rsidRPr="00891E76">
        <w:rPr>
          <w:i/>
          <w:iCs/>
          <w:sz w:val="20"/>
          <w:szCs w:val="20"/>
        </w:rPr>
        <w:t>Annu. Rev. Astron. Astrophys.</w:t>
      </w:r>
      <w:r w:rsidRPr="00891E76">
        <w:rPr>
          <w:sz w:val="20"/>
          <w:szCs w:val="20"/>
        </w:rPr>
        <w:t xml:space="preserve"> </w:t>
      </w:r>
      <w:r w:rsidRPr="00891E76">
        <w:rPr>
          <w:b/>
          <w:bCs/>
          <w:sz w:val="20"/>
          <w:szCs w:val="20"/>
          <w:lang w:val="en-US"/>
        </w:rPr>
        <w:t>47</w:t>
      </w:r>
      <w:r w:rsidRPr="00891E76">
        <w:rPr>
          <w:sz w:val="20"/>
          <w:szCs w:val="20"/>
          <w:lang w:val="en-US"/>
        </w:rPr>
        <w:t xml:space="preserve"> 291–332 </w:t>
      </w:r>
    </w:p>
    <w:p w14:paraId="2D89F2BF" w14:textId="149DA17F" w:rsidR="000C28C4" w:rsidRPr="00891E76" w:rsidRDefault="000C28C4" w:rsidP="004019E5">
      <w:pPr>
        <w:widowControl w:val="0"/>
        <w:tabs>
          <w:tab w:val="num" w:pos="720"/>
        </w:tabs>
        <w:adjustRightInd w:val="0"/>
        <w:snapToGrid w:val="0"/>
        <w:ind w:left="340" w:hanging="340"/>
        <w:jc w:val="both"/>
        <w:rPr>
          <w:sz w:val="20"/>
          <w:szCs w:val="20"/>
          <w:lang w:val="en-US"/>
        </w:rPr>
      </w:pPr>
      <w:r w:rsidRPr="00891E76">
        <w:rPr>
          <w:sz w:val="20"/>
          <w:szCs w:val="20"/>
          <w:lang w:val="en-US"/>
        </w:rPr>
        <w:t>[2</w:t>
      </w:r>
      <w:r w:rsidR="00A61AEB" w:rsidRPr="00891E76">
        <w:rPr>
          <w:sz w:val="20"/>
          <w:szCs w:val="20"/>
          <w:lang w:val="en-US"/>
        </w:rPr>
        <w:t>8</w:t>
      </w:r>
      <w:r w:rsidRPr="00891E76">
        <w:rPr>
          <w:sz w:val="20"/>
          <w:szCs w:val="20"/>
          <w:lang w:val="en-US"/>
        </w:rPr>
        <w:t xml:space="preserve">] Wesson J. 2011 Tokamaks. 4th ed. Oxford University Press, Oxford </w:t>
      </w:r>
    </w:p>
    <w:p w14:paraId="20324C3A" w14:textId="10BB4EE4"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[2</w:t>
      </w:r>
      <w:r w:rsidR="00A61AEB" w:rsidRPr="00891E76">
        <w:rPr>
          <w:sz w:val="20"/>
          <w:lang w:val="en-US"/>
        </w:rPr>
        <w:t>9</w:t>
      </w:r>
      <w:r w:rsidRPr="00891E76">
        <w:rPr>
          <w:sz w:val="20"/>
          <w:lang w:val="en-US"/>
        </w:rPr>
        <w:t xml:space="preserve">] Alladio F., Grosso L.A., Mancuso A., Mantovani S., Micozzi P., Apruzzese G., Bettinali L., Buratti P., De Angelis R., Gatti G., Monari G., Pillon M., Sibio A., Tilia B. &amp; Tudisco O. 2000 Results of Proto-Pinch Testbench for the </w:t>
      </w:r>
      <w:r w:rsidRPr="00891E76">
        <w:rPr>
          <w:caps/>
          <w:sz w:val="20"/>
          <w:lang w:val="en-US"/>
        </w:rPr>
        <w:t>Proto-Sphera</w:t>
      </w:r>
      <w:r w:rsidRPr="00891E76">
        <w:rPr>
          <w:sz w:val="20"/>
          <w:lang w:val="en-US"/>
        </w:rPr>
        <w:t xml:space="preserve"> experiment </w:t>
      </w:r>
      <w:r w:rsidRPr="00891E76">
        <w:rPr>
          <w:i/>
          <w:iCs/>
          <w:sz w:val="20"/>
          <w:lang w:val="en-US"/>
        </w:rPr>
        <w:t xml:space="preserve">Proc. of the 27th EPS Conference on Contr. </w:t>
      </w:r>
      <w:r w:rsidRPr="00891E76">
        <w:rPr>
          <w:i/>
          <w:iCs/>
          <w:sz w:val="20"/>
        </w:rPr>
        <w:t>Fusion and Plasma Phys. Budapest, 12-16 June 2000</w:t>
      </w:r>
      <w:r w:rsidRPr="00891E76">
        <w:rPr>
          <w:sz w:val="20"/>
        </w:rPr>
        <w:t xml:space="preserve"> </w:t>
      </w:r>
      <w:r w:rsidRPr="00891E76">
        <w:rPr>
          <w:b/>
          <w:bCs/>
          <w:sz w:val="20"/>
        </w:rPr>
        <w:t>ECA</w:t>
      </w:r>
      <w:r w:rsidRPr="00891E76">
        <w:rPr>
          <w:b/>
          <w:bCs/>
          <w:sz w:val="20"/>
          <w:lang w:val="en-US"/>
        </w:rPr>
        <w:t xml:space="preserve"> Vol. 24B</w:t>
      </w:r>
      <w:r w:rsidRPr="00891E76">
        <w:rPr>
          <w:sz w:val="20"/>
          <w:lang w:val="en-US"/>
        </w:rPr>
        <w:t xml:space="preserve"> 161-164</w:t>
      </w:r>
    </w:p>
    <w:p w14:paraId="44A30172" w14:textId="3B147C24"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891E76">
        <w:rPr>
          <w:sz w:val="20"/>
        </w:rPr>
        <w:t>[</w:t>
      </w:r>
      <w:r w:rsidR="00A61AEB" w:rsidRPr="00891E76">
        <w:rPr>
          <w:sz w:val="20"/>
        </w:rPr>
        <w:t>30</w:t>
      </w:r>
      <w:r w:rsidRPr="00891E76">
        <w:rPr>
          <w:sz w:val="20"/>
        </w:rPr>
        <w:t>]</w:t>
      </w:r>
      <w:r w:rsidRPr="00891E76">
        <w:rPr>
          <w:rFonts w:eastAsia="Times New Roman"/>
          <w:sz w:val="20"/>
        </w:rPr>
        <w:t xml:space="preserve"> Micozzi P., Alladio A., Mancuso A. and Rogier F. 2010 </w:t>
      </w:r>
      <w:r w:rsidRPr="00891E76">
        <w:rPr>
          <w:rFonts w:eastAsia="Times New Roman"/>
          <w:i/>
          <w:iCs/>
          <w:sz w:val="20"/>
        </w:rPr>
        <w:t xml:space="preserve">Nucl. </w:t>
      </w:r>
      <w:r w:rsidRPr="00891E76">
        <w:rPr>
          <w:rFonts w:eastAsia="Times New Roman"/>
          <w:i/>
          <w:iCs/>
          <w:sz w:val="20"/>
          <w:lang w:val="it-IT"/>
        </w:rPr>
        <w:t>Fusion</w:t>
      </w:r>
      <w:r w:rsidRPr="00891E76">
        <w:rPr>
          <w:rFonts w:eastAsia="Times New Roman"/>
          <w:sz w:val="20"/>
          <w:lang w:val="it-IT"/>
        </w:rPr>
        <w:t xml:space="preserve"> </w:t>
      </w:r>
      <w:r w:rsidRPr="00891E76">
        <w:rPr>
          <w:rFonts w:eastAsia="Times New Roman"/>
          <w:b/>
          <w:bCs/>
          <w:sz w:val="20"/>
          <w:lang w:val="it-IT"/>
        </w:rPr>
        <w:t>50</w:t>
      </w:r>
      <w:r w:rsidRPr="00891E76">
        <w:rPr>
          <w:rFonts w:eastAsia="Times New Roman"/>
          <w:sz w:val="20"/>
          <w:lang w:val="it-IT"/>
        </w:rPr>
        <w:t xml:space="preserve"> 095004</w:t>
      </w:r>
    </w:p>
    <w:p w14:paraId="3C7B4AFB" w14:textId="38EF8D6E" w:rsidR="000C28C4" w:rsidRPr="00891E76" w:rsidRDefault="000C28C4" w:rsidP="004019E5">
      <w:pPr>
        <w:widowControl w:val="0"/>
        <w:adjustRightInd w:val="0"/>
        <w:snapToGrid w:val="0"/>
        <w:ind w:left="340" w:hanging="340"/>
        <w:jc w:val="both"/>
        <w:rPr>
          <w:noProof/>
          <w:sz w:val="20"/>
          <w:szCs w:val="20"/>
          <w:lang w:val="it-IT"/>
        </w:rPr>
      </w:pPr>
      <w:r w:rsidRPr="00891E76">
        <w:rPr>
          <w:sz w:val="20"/>
          <w:szCs w:val="20"/>
          <w:lang w:val="it-IT"/>
        </w:rPr>
        <w:t>[</w:t>
      </w:r>
      <w:r w:rsidR="00944E75" w:rsidRPr="00891E76">
        <w:rPr>
          <w:sz w:val="20"/>
          <w:szCs w:val="20"/>
          <w:lang w:val="it-IT"/>
        </w:rPr>
        <w:t>31</w:t>
      </w:r>
      <w:r w:rsidRPr="00891E76">
        <w:rPr>
          <w:sz w:val="20"/>
          <w:szCs w:val="20"/>
          <w:lang w:val="it-IT"/>
        </w:rPr>
        <w:t xml:space="preserve">] </w:t>
      </w:r>
      <w:r w:rsidRPr="00891E76">
        <w:rPr>
          <w:noProof/>
          <w:sz w:val="20"/>
          <w:szCs w:val="20"/>
          <w:lang w:val="it-IT"/>
        </w:rPr>
        <w:t xml:space="preserve">Sykes A. </w:t>
      </w:r>
      <w:r w:rsidRPr="00891E76">
        <w:rPr>
          <w:i/>
          <w:iCs/>
          <w:noProof/>
          <w:sz w:val="20"/>
          <w:szCs w:val="20"/>
          <w:lang w:val="it-IT"/>
        </w:rPr>
        <w:t>et al</w:t>
      </w:r>
      <w:r w:rsidRPr="00891E76">
        <w:rPr>
          <w:noProof/>
          <w:sz w:val="20"/>
          <w:szCs w:val="20"/>
          <w:lang w:val="it-IT"/>
        </w:rPr>
        <w:t xml:space="preserve">. 1992 </w:t>
      </w:r>
      <w:r w:rsidRPr="00891E76">
        <w:rPr>
          <w:i/>
          <w:iCs/>
          <w:noProof/>
          <w:sz w:val="20"/>
          <w:szCs w:val="20"/>
          <w:lang w:val="it-IT"/>
        </w:rPr>
        <w:t>Nucl. Fusion</w:t>
      </w:r>
      <w:r w:rsidRPr="00891E76">
        <w:rPr>
          <w:noProof/>
          <w:sz w:val="20"/>
          <w:szCs w:val="20"/>
          <w:lang w:val="it-IT"/>
        </w:rPr>
        <w:t xml:space="preserve"> </w:t>
      </w:r>
      <w:r w:rsidRPr="00891E76">
        <w:rPr>
          <w:b/>
          <w:bCs/>
          <w:noProof/>
          <w:sz w:val="20"/>
          <w:szCs w:val="20"/>
          <w:lang w:val="it-IT"/>
        </w:rPr>
        <w:t>32</w:t>
      </w:r>
      <w:r w:rsidRPr="00891E76">
        <w:rPr>
          <w:noProof/>
          <w:sz w:val="20"/>
          <w:szCs w:val="20"/>
          <w:lang w:val="it-IT"/>
        </w:rPr>
        <w:t xml:space="preserve"> 694</w:t>
      </w:r>
    </w:p>
    <w:p w14:paraId="60F84D7B" w14:textId="74BE5E31"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891E76">
        <w:rPr>
          <w:sz w:val="20"/>
          <w:lang w:val="it-IT"/>
        </w:rPr>
        <w:t>[</w:t>
      </w:r>
      <w:r w:rsidR="00944E75" w:rsidRPr="00891E76">
        <w:rPr>
          <w:sz w:val="20"/>
          <w:lang w:val="it-IT"/>
        </w:rPr>
        <w:t>32</w:t>
      </w:r>
      <w:r w:rsidRPr="00891E76">
        <w:rPr>
          <w:sz w:val="20"/>
          <w:lang w:val="it-IT"/>
        </w:rPr>
        <w:t xml:space="preserve">] </w:t>
      </w:r>
      <w:r w:rsidRPr="00891E76">
        <w:rPr>
          <w:rFonts w:eastAsia="Times New Roman"/>
          <w:sz w:val="20"/>
          <w:lang w:val="it-IT"/>
        </w:rPr>
        <w:t xml:space="preserve">Lampasi A., Maffia G., Alladio F., Boncagni L., Causa F., Giovannozzi E., Grosso L.A., Mancuso A., Micozzi P., Piergotti V., Rocchi G., Sibio A., Tilia B. and Zanza V. 2016 Progress of  the Plasma Centerpost for the PROTO-SPHERA Spherical Tokamak </w:t>
      </w:r>
      <w:r w:rsidRPr="00891E76">
        <w:rPr>
          <w:rFonts w:eastAsia="Times New Roman"/>
          <w:i/>
          <w:iCs/>
          <w:sz w:val="20"/>
          <w:lang w:val="it-IT"/>
        </w:rPr>
        <w:t>Energies</w:t>
      </w:r>
      <w:r w:rsidRPr="00891E76">
        <w:rPr>
          <w:rFonts w:eastAsia="Times New Roman"/>
          <w:sz w:val="20"/>
          <w:lang w:val="it-IT"/>
        </w:rPr>
        <w:t> </w:t>
      </w:r>
      <w:r w:rsidRPr="00891E76">
        <w:rPr>
          <w:rFonts w:eastAsia="Times New Roman"/>
          <w:b/>
          <w:bCs/>
          <w:sz w:val="20"/>
          <w:lang w:val="it-IT"/>
        </w:rPr>
        <w:t>9</w:t>
      </w:r>
      <w:r w:rsidRPr="00891E76">
        <w:rPr>
          <w:rFonts w:eastAsia="Times New Roman"/>
          <w:sz w:val="20"/>
          <w:lang w:val="it-IT"/>
        </w:rPr>
        <w:t>(</w:t>
      </w:r>
      <w:r w:rsidRPr="00891E76">
        <w:rPr>
          <w:rFonts w:eastAsia="Times New Roman"/>
          <w:b/>
          <w:bCs/>
          <w:sz w:val="20"/>
          <w:lang w:val="it-IT"/>
        </w:rPr>
        <w:t>7</w:t>
      </w:r>
      <w:r w:rsidRPr="00891E76">
        <w:rPr>
          <w:rFonts w:eastAsia="Times New Roman"/>
          <w:sz w:val="20"/>
          <w:lang w:val="it-IT"/>
        </w:rPr>
        <w:t xml:space="preserve">) 508 </w:t>
      </w:r>
    </w:p>
    <w:p w14:paraId="30C160C5" w14:textId="70379A43" w:rsidR="000C28C4" w:rsidRPr="00891E76" w:rsidRDefault="000C28C4" w:rsidP="004019E5">
      <w:pPr>
        <w:widowControl w:val="0"/>
        <w:adjustRightInd w:val="0"/>
        <w:snapToGrid w:val="0"/>
        <w:ind w:left="340" w:hanging="340"/>
        <w:jc w:val="both"/>
        <w:rPr>
          <w:sz w:val="20"/>
          <w:szCs w:val="20"/>
        </w:rPr>
      </w:pPr>
      <w:r w:rsidRPr="00891E76">
        <w:rPr>
          <w:noProof/>
          <w:sz w:val="20"/>
          <w:szCs w:val="20"/>
          <w:lang w:val="en-US"/>
        </w:rPr>
        <w:t>[</w:t>
      </w:r>
      <w:r w:rsidR="00944E75" w:rsidRPr="00891E76">
        <w:rPr>
          <w:noProof/>
          <w:sz w:val="20"/>
          <w:szCs w:val="20"/>
          <w:lang w:val="en-US"/>
        </w:rPr>
        <w:t>33</w:t>
      </w:r>
      <w:r w:rsidRPr="00891E76">
        <w:rPr>
          <w:noProof/>
          <w:sz w:val="20"/>
          <w:szCs w:val="20"/>
          <w:lang w:val="en-US"/>
        </w:rPr>
        <w:t xml:space="preserve">] </w:t>
      </w:r>
      <w:r w:rsidRPr="00891E76">
        <w:rPr>
          <w:sz w:val="20"/>
          <w:szCs w:val="20"/>
        </w:rPr>
        <w:t xml:space="preserve">Rogier, F., Bracco, G., Mancuso, A., Micozzi, P. &amp; Alladio, F. 2002 Simply Connected High-Beta Magnetic Configurations 11th International Congress on Plasma Physics: </w:t>
      </w:r>
      <w:r w:rsidRPr="00891E76">
        <w:rPr>
          <w:i/>
          <w:iCs/>
          <w:sz w:val="20"/>
          <w:szCs w:val="20"/>
        </w:rPr>
        <w:t>ICPP 2002, AIP Conference Proceedings</w:t>
      </w:r>
      <w:r w:rsidRPr="00891E76">
        <w:rPr>
          <w:sz w:val="20"/>
          <w:szCs w:val="20"/>
        </w:rPr>
        <w:t> </w:t>
      </w:r>
      <w:r w:rsidRPr="00891E76">
        <w:rPr>
          <w:b/>
          <w:bCs/>
          <w:sz w:val="20"/>
          <w:szCs w:val="20"/>
        </w:rPr>
        <w:t>669</w:t>
      </w:r>
      <w:r w:rsidRPr="00891E76">
        <w:rPr>
          <w:sz w:val="20"/>
          <w:szCs w:val="20"/>
        </w:rPr>
        <w:t xml:space="preserve"> 557 </w:t>
      </w:r>
    </w:p>
    <w:p w14:paraId="05AA2D6D" w14:textId="5AB9608C" w:rsidR="000C28C4" w:rsidRPr="00891E76" w:rsidRDefault="000C28C4" w:rsidP="004019E5">
      <w:pPr>
        <w:widowControl w:val="0"/>
        <w:adjustRightInd w:val="0"/>
        <w:snapToGrid w:val="0"/>
        <w:ind w:left="340" w:hanging="340"/>
        <w:jc w:val="both"/>
        <w:rPr>
          <w:rFonts w:eastAsiaTheme="minorEastAsia"/>
          <w:sz w:val="20"/>
          <w:szCs w:val="20"/>
        </w:rPr>
      </w:pPr>
      <w:r w:rsidRPr="00891E76">
        <w:rPr>
          <w:sz w:val="20"/>
          <w:szCs w:val="20"/>
        </w:rPr>
        <w:t>[</w:t>
      </w:r>
      <w:r w:rsidR="00944E75" w:rsidRPr="00891E76">
        <w:rPr>
          <w:sz w:val="20"/>
          <w:szCs w:val="20"/>
          <w:lang w:val="en-US"/>
        </w:rPr>
        <w:t>34</w:t>
      </w:r>
      <w:r w:rsidRPr="00891E76">
        <w:rPr>
          <w:sz w:val="20"/>
          <w:szCs w:val="20"/>
        </w:rPr>
        <w:t xml:space="preserve">] Boozer A.H. </w:t>
      </w:r>
      <w:r w:rsidRPr="00891E76">
        <w:rPr>
          <w:rFonts w:eastAsiaTheme="minorEastAsia"/>
          <w:sz w:val="20"/>
          <w:szCs w:val="20"/>
        </w:rPr>
        <w:t xml:space="preserve">2012 </w:t>
      </w:r>
      <w:r w:rsidRPr="00891E76">
        <w:rPr>
          <w:sz w:val="20"/>
          <w:szCs w:val="20"/>
        </w:rPr>
        <w:t xml:space="preserve">Theory of tokamak disruptions </w:t>
      </w:r>
      <w:r w:rsidRPr="00891E76">
        <w:rPr>
          <w:rFonts w:eastAsiaTheme="minorEastAsia"/>
          <w:i/>
          <w:iCs/>
          <w:sz w:val="20"/>
          <w:szCs w:val="20"/>
        </w:rPr>
        <w:t>Phys. Plasmas</w:t>
      </w:r>
      <w:r w:rsidRPr="00891E76">
        <w:rPr>
          <w:rFonts w:eastAsiaTheme="minorEastAsia"/>
          <w:sz w:val="20"/>
          <w:szCs w:val="20"/>
        </w:rPr>
        <w:t xml:space="preserve"> </w:t>
      </w:r>
      <w:r w:rsidRPr="00891E76">
        <w:rPr>
          <w:rFonts w:eastAsiaTheme="minorEastAsia"/>
          <w:b/>
          <w:bCs/>
          <w:sz w:val="20"/>
          <w:szCs w:val="20"/>
        </w:rPr>
        <w:t>19</w:t>
      </w:r>
      <w:r w:rsidRPr="00891E76">
        <w:rPr>
          <w:rFonts w:eastAsiaTheme="minorEastAsia"/>
          <w:sz w:val="20"/>
          <w:szCs w:val="20"/>
        </w:rPr>
        <w:t xml:space="preserve"> 058101 </w:t>
      </w:r>
    </w:p>
    <w:p w14:paraId="6C9D697D" w14:textId="148466F1" w:rsidR="000C28C4" w:rsidRPr="00891E76" w:rsidRDefault="000C28C4" w:rsidP="004019E5">
      <w:pPr>
        <w:widowControl w:val="0"/>
        <w:adjustRightInd w:val="0"/>
        <w:snapToGrid w:val="0"/>
        <w:ind w:left="340" w:hanging="340"/>
        <w:jc w:val="both"/>
        <w:rPr>
          <w:color w:val="000000"/>
          <w:sz w:val="20"/>
          <w:szCs w:val="20"/>
          <w:shd w:val="clear" w:color="auto" w:fill="FFFFFF"/>
        </w:rPr>
      </w:pPr>
      <w:r w:rsidRPr="00891E76">
        <w:rPr>
          <w:sz w:val="20"/>
          <w:szCs w:val="20"/>
        </w:rPr>
        <w:t>[</w:t>
      </w:r>
      <w:r w:rsidR="00944E75" w:rsidRPr="00891E76">
        <w:rPr>
          <w:sz w:val="20"/>
          <w:szCs w:val="20"/>
          <w:lang w:val="en-US"/>
        </w:rPr>
        <w:t>35</w:t>
      </w:r>
      <w:r w:rsidRPr="00891E76">
        <w:rPr>
          <w:sz w:val="20"/>
          <w:szCs w:val="20"/>
        </w:rPr>
        <w:t xml:space="preserve">] Kirk A., Wilson H.R., Akers R., Conway N.J., Counsell G.F., Cowley S.C., Dowling J., Dudson B., Field A., Lott F., Lloyd B., Martin R., Meyer H., Price M., Taylor D., Walsh M. &amp; The Mast Team 2005 Structure of ELMs in MAST and the implications for energy deposition </w:t>
      </w:r>
      <w:r w:rsidRPr="00891E76">
        <w:rPr>
          <w:i/>
          <w:iCs/>
          <w:sz w:val="20"/>
          <w:szCs w:val="20"/>
        </w:rPr>
        <w:t>Plasma Phys. Control. Fusion</w:t>
      </w:r>
      <w:r w:rsidRPr="00891E76">
        <w:rPr>
          <w:sz w:val="20"/>
          <w:szCs w:val="20"/>
        </w:rPr>
        <w:t xml:space="preserve"> </w:t>
      </w:r>
      <w:r w:rsidRPr="00891E76">
        <w:rPr>
          <w:b/>
          <w:bCs/>
          <w:sz w:val="20"/>
          <w:szCs w:val="20"/>
        </w:rPr>
        <w:t>47</w:t>
      </w:r>
      <w:r w:rsidRPr="00891E76">
        <w:rPr>
          <w:sz w:val="20"/>
          <w:szCs w:val="20"/>
        </w:rPr>
        <w:t xml:space="preserve"> 315 </w:t>
      </w:r>
    </w:p>
    <w:p w14:paraId="6DE4D7C5" w14:textId="194ED3B1"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t>[3</w:t>
      </w:r>
      <w:r w:rsidR="00944E75" w:rsidRPr="00891E76">
        <w:rPr>
          <w:kern w:val="24"/>
          <w:sz w:val="20"/>
          <w:szCs w:val="20"/>
          <w:lang w:val="en-US"/>
        </w:rPr>
        <w:t>6</w:t>
      </w:r>
      <w:r w:rsidRPr="00891E76">
        <w:rPr>
          <w:kern w:val="24"/>
          <w:sz w:val="20"/>
          <w:szCs w:val="20"/>
        </w:rPr>
        <w:t>]</w:t>
      </w:r>
      <w:r w:rsidRPr="00891E76">
        <w:rPr>
          <w:kern w:val="24"/>
          <w:sz w:val="20"/>
          <w:szCs w:val="20"/>
          <w:vertAlign w:val="superscript"/>
        </w:rPr>
        <w:t xml:space="preserve"> </w:t>
      </w:r>
      <w:r w:rsidRPr="00891E76">
        <w:rPr>
          <w:kern w:val="24"/>
          <w:sz w:val="20"/>
          <w:szCs w:val="20"/>
        </w:rPr>
        <w:t xml:space="preserve">Brandi F., Giammanco F., Harris W.S., Roche T., Trask E., and Wessel F.J. 2009 Electron density measurements of a field-reversed configuration plasma using a novel compact ultrastable second-harmonic interferometer </w:t>
      </w:r>
      <w:r w:rsidRPr="00891E76">
        <w:rPr>
          <w:i/>
          <w:iCs/>
          <w:kern w:val="24"/>
          <w:sz w:val="20"/>
          <w:szCs w:val="20"/>
        </w:rPr>
        <w:t>Review of Scientific Instruments</w:t>
      </w:r>
      <w:r w:rsidRPr="00891E76">
        <w:rPr>
          <w:kern w:val="24"/>
          <w:sz w:val="20"/>
          <w:szCs w:val="20"/>
        </w:rPr>
        <w:t xml:space="preserve"> </w:t>
      </w:r>
      <w:r w:rsidRPr="00891E76">
        <w:rPr>
          <w:b/>
          <w:bCs/>
          <w:kern w:val="24"/>
          <w:sz w:val="20"/>
          <w:szCs w:val="20"/>
        </w:rPr>
        <w:t>80</w:t>
      </w:r>
      <w:r w:rsidRPr="00891E76">
        <w:rPr>
          <w:kern w:val="24"/>
          <w:sz w:val="20"/>
          <w:szCs w:val="20"/>
        </w:rPr>
        <w:t xml:space="preserve"> 113501</w:t>
      </w:r>
    </w:p>
    <w:p w14:paraId="7F36880A" w14:textId="48EF9F70"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t>[3</w:t>
      </w:r>
      <w:r w:rsidR="00944E75" w:rsidRPr="00891E76">
        <w:rPr>
          <w:kern w:val="24"/>
          <w:sz w:val="20"/>
          <w:szCs w:val="20"/>
          <w:lang w:val="en-US"/>
        </w:rPr>
        <w:t>7</w:t>
      </w:r>
      <w:r w:rsidRPr="00891E76">
        <w:rPr>
          <w:kern w:val="24"/>
          <w:sz w:val="20"/>
          <w:szCs w:val="20"/>
        </w:rPr>
        <w:t xml:space="preserve">] Del Rosso T., Giammanco F., Anderson M.G., Conti F., Balvis A., Isakov I., Matvienko V., Strashnoy G., Waggoner W., Bonelli L., Paganini E. &amp; Binderbauer M.W. 2011 Long-path second-harmonic interferometer with nanosecond time resolution: reliable diagnostic tool for electron density measurement in pulsed plasma devices </w:t>
      </w:r>
      <w:r w:rsidRPr="00891E76">
        <w:rPr>
          <w:i/>
          <w:iCs/>
          <w:kern w:val="24"/>
          <w:sz w:val="20"/>
          <w:szCs w:val="20"/>
        </w:rPr>
        <w:t>Optics Letters</w:t>
      </w:r>
      <w:r w:rsidRPr="00891E76">
        <w:rPr>
          <w:kern w:val="24"/>
          <w:sz w:val="20"/>
          <w:szCs w:val="20"/>
        </w:rPr>
        <w:t xml:space="preserve"> </w:t>
      </w:r>
      <w:r w:rsidRPr="00891E76">
        <w:rPr>
          <w:b/>
          <w:bCs/>
          <w:kern w:val="24"/>
          <w:sz w:val="20"/>
          <w:szCs w:val="20"/>
        </w:rPr>
        <w:t>37 No. 18</w:t>
      </w:r>
      <w:r w:rsidRPr="00891E76">
        <w:rPr>
          <w:kern w:val="24"/>
          <w:sz w:val="20"/>
          <w:szCs w:val="20"/>
        </w:rPr>
        <w:t xml:space="preserve"> 3855</w:t>
      </w:r>
    </w:p>
    <w:p w14:paraId="31A39894" w14:textId="1A268933" w:rsidR="000C28C4" w:rsidRPr="00891E76" w:rsidRDefault="000C28C4" w:rsidP="004019E5">
      <w:pPr>
        <w:widowControl w:val="0"/>
        <w:adjustRightInd w:val="0"/>
        <w:snapToGrid w:val="0"/>
        <w:ind w:left="340" w:hanging="340"/>
        <w:jc w:val="both"/>
        <w:rPr>
          <w:sz w:val="20"/>
          <w:szCs w:val="20"/>
        </w:rPr>
      </w:pPr>
      <w:r w:rsidRPr="00891E76">
        <w:rPr>
          <w:sz w:val="20"/>
          <w:szCs w:val="20"/>
        </w:rPr>
        <w:t>[3</w:t>
      </w:r>
      <w:r w:rsidR="00944E75" w:rsidRPr="00891E76">
        <w:rPr>
          <w:sz w:val="20"/>
          <w:szCs w:val="20"/>
          <w:lang w:val="en-US"/>
        </w:rPr>
        <w:t>8</w:t>
      </w:r>
      <w:r w:rsidRPr="00891E76">
        <w:rPr>
          <w:sz w:val="20"/>
          <w:szCs w:val="20"/>
        </w:rPr>
        <w:t>]</w:t>
      </w:r>
      <w:r w:rsidRPr="00891E76">
        <w:rPr>
          <w:sz w:val="20"/>
          <w:szCs w:val="20"/>
        </w:rPr>
        <w:tab/>
        <w:t>Bethe H.A. and Critchfield</w:t>
      </w:r>
      <w:r w:rsidRPr="00891E76">
        <w:rPr>
          <w:sz w:val="20"/>
          <w:szCs w:val="20"/>
          <w:lang w:val="en-US"/>
        </w:rPr>
        <w:t xml:space="preserve"> </w:t>
      </w:r>
      <w:r w:rsidRPr="00891E76">
        <w:rPr>
          <w:sz w:val="20"/>
          <w:szCs w:val="20"/>
        </w:rPr>
        <w:t xml:space="preserve">C.L. </w:t>
      </w:r>
      <w:r w:rsidRPr="00891E76">
        <w:rPr>
          <w:sz w:val="20"/>
          <w:szCs w:val="20"/>
          <w:lang w:val="en-US"/>
        </w:rPr>
        <w:t xml:space="preserve">1938 </w:t>
      </w:r>
      <w:r w:rsidRPr="00891E76">
        <w:rPr>
          <w:sz w:val="20"/>
          <w:szCs w:val="20"/>
        </w:rPr>
        <w:t xml:space="preserve">The formation of Deuterons by Proton combination </w:t>
      </w:r>
      <w:r w:rsidRPr="00891E76">
        <w:rPr>
          <w:i/>
          <w:iCs/>
          <w:sz w:val="20"/>
          <w:szCs w:val="20"/>
        </w:rPr>
        <w:t>Phys. Rev.</w:t>
      </w:r>
      <w:r w:rsidRPr="00891E76">
        <w:rPr>
          <w:sz w:val="20"/>
          <w:szCs w:val="20"/>
        </w:rPr>
        <w:t> </w:t>
      </w:r>
      <w:r w:rsidRPr="00891E76">
        <w:rPr>
          <w:b/>
          <w:bCs/>
          <w:sz w:val="20"/>
          <w:szCs w:val="20"/>
        </w:rPr>
        <w:t>54</w:t>
      </w:r>
      <w:r w:rsidRPr="00891E76">
        <w:rPr>
          <w:sz w:val="20"/>
          <w:szCs w:val="20"/>
        </w:rPr>
        <w:t xml:space="preserve"> 248</w:t>
      </w:r>
    </w:p>
    <w:p w14:paraId="6C212E4B" w14:textId="272F8F7B" w:rsidR="000C28C4" w:rsidRPr="00891E76" w:rsidRDefault="000C28C4" w:rsidP="004019E5">
      <w:pPr>
        <w:widowControl w:val="0"/>
        <w:adjustRightInd w:val="0"/>
        <w:snapToGrid w:val="0"/>
        <w:ind w:left="340" w:hanging="340"/>
        <w:jc w:val="both"/>
        <w:rPr>
          <w:sz w:val="20"/>
          <w:szCs w:val="20"/>
        </w:rPr>
      </w:pPr>
      <w:r w:rsidRPr="00891E76">
        <w:rPr>
          <w:sz w:val="20"/>
          <w:szCs w:val="20"/>
        </w:rPr>
        <w:t>[3</w:t>
      </w:r>
      <w:r w:rsidR="00944E75" w:rsidRPr="00891E76">
        <w:rPr>
          <w:sz w:val="20"/>
          <w:szCs w:val="20"/>
          <w:lang w:val="en-US"/>
        </w:rPr>
        <w:t>9</w:t>
      </w:r>
      <w:r w:rsidRPr="00891E76">
        <w:rPr>
          <w:sz w:val="20"/>
          <w:szCs w:val="20"/>
        </w:rPr>
        <w:t>] Lazic</w:t>
      </w:r>
      <w:r w:rsidRPr="00891E76">
        <w:rPr>
          <w:sz w:val="20"/>
          <w:szCs w:val="20"/>
          <w:lang w:val="en-US"/>
        </w:rPr>
        <w:t xml:space="preserve"> V.</w:t>
      </w:r>
      <w:r w:rsidRPr="00891E76">
        <w:rPr>
          <w:sz w:val="20"/>
          <w:szCs w:val="20"/>
        </w:rPr>
        <w:t xml:space="preserve">, De Ninno A. 2017 Calibration approach for extremely variable laser induced plasmas and a strategy to reduce the matrix effect in general </w:t>
      </w:r>
      <w:r w:rsidRPr="00891E76">
        <w:rPr>
          <w:i/>
          <w:iCs/>
          <w:sz w:val="20"/>
          <w:szCs w:val="20"/>
        </w:rPr>
        <w:t>Spectrochimica Acta Part B</w:t>
      </w:r>
      <w:r w:rsidRPr="00891E76">
        <w:rPr>
          <w:sz w:val="20"/>
          <w:szCs w:val="20"/>
        </w:rPr>
        <w:t xml:space="preserve"> </w:t>
      </w:r>
      <w:r w:rsidRPr="00891E76">
        <w:rPr>
          <w:b/>
          <w:bCs/>
          <w:sz w:val="20"/>
          <w:szCs w:val="20"/>
        </w:rPr>
        <w:t>137</w:t>
      </w:r>
      <w:r w:rsidRPr="00891E76">
        <w:rPr>
          <w:sz w:val="20"/>
          <w:szCs w:val="20"/>
        </w:rPr>
        <w:t xml:space="preserve"> 28–38</w:t>
      </w:r>
    </w:p>
    <w:p w14:paraId="4FF9ECDB" w14:textId="52922BED"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944E75" w:rsidRPr="00891E76">
        <w:rPr>
          <w:sz w:val="20"/>
          <w:szCs w:val="20"/>
          <w:lang w:val="en-US"/>
        </w:rPr>
        <w:t>40</w:t>
      </w:r>
      <w:r w:rsidRPr="00891E76">
        <w:rPr>
          <w:sz w:val="20"/>
          <w:szCs w:val="20"/>
        </w:rPr>
        <w:t xml:space="preserve">] Murphree D.L., Carter R.P. 1974 Observations on magnetically induced anodic arc region behavior </w:t>
      </w:r>
      <w:r w:rsidRPr="00891E76">
        <w:rPr>
          <w:i/>
          <w:iCs/>
          <w:sz w:val="20"/>
          <w:szCs w:val="20"/>
        </w:rPr>
        <w:t>Journal of Applied Physics</w:t>
      </w:r>
      <w:r w:rsidRPr="00891E76">
        <w:rPr>
          <w:sz w:val="20"/>
          <w:szCs w:val="20"/>
        </w:rPr>
        <w:t xml:space="preserve"> </w:t>
      </w:r>
      <w:r w:rsidRPr="00891E76">
        <w:rPr>
          <w:b/>
          <w:bCs/>
          <w:sz w:val="20"/>
          <w:szCs w:val="20"/>
        </w:rPr>
        <w:t>45</w:t>
      </w:r>
      <w:r w:rsidRPr="00891E76">
        <w:rPr>
          <w:sz w:val="20"/>
          <w:szCs w:val="20"/>
        </w:rPr>
        <w:t xml:space="preserve"> 1915</w:t>
      </w:r>
    </w:p>
    <w:p w14:paraId="42005FE8" w14:textId="7B26B134"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944E75" w:rsidRPr="00891E76">
        <w:rPr>
          <w:sz w:val="20"/>
          <w:szCs w:val="20"/>
          <w:lang w:val="en-US"/>
        </w:rPr>
        <w:t>41</w:t>
      </w:r>
      <w:r w:rsidRPr="00891E76">
        <w:rPr>
          <w:sz w:val="20"/>
          <w:szCs w:val="20"/>
        </w:rPr>
        <w:t xml:space="preserve">] Miller H.C. 1989 A review of anode phenomena in vacuum arces </w:t>
      </w:r>
      <w:r w:rsidRPr="00891E76">
        <w:rPr>
          <w:i/>
          <w:iCs/>
          <w:sz w:val="20"/>
          <w:szCs w:val="20"/>
        </w:rPr>
        <w:t>Contributions to Plasma Physics</w:t>
      </w:r>
      <w:r w:rsidRPr="00891E76">
        <w:rPr>
          <w:sz w:val="20"/>
          <w:szCs w:val="20"/>
        </w:rPr>
        <w:t xml:space="preserve"> </w:t>
      </w:r>
      <w:r w:rsidRPr="00891E76">
        <w:rPr>
          <w:b/>
          <w:bCs/>
          <w:sz w:val="20"/>
          <w:szCs w:val="20"/>
        </w:rPr>
        <w:t>23</w:t>
      </w:r>
      <w:r w:rsidRPr="00891E76">
        <w:rPr>
          <w:sz w:val="20"/>
          <w:szCs w:val="20"/>
        </w:rPr>
        <w:t xml:space="preserve"> 223-249</w:t>
      </w:r>
    </w:p>
    <w:p w14:paraId="70DC1A61" w14:textId="416214DC" w:rsidR="006A3517" w:rsidRPr="00891E76" w:rsidRDefault="006A3517" w:rsidP="004019E5">
      <w:pPr>
        <w:widowControl w:val="0"/>
        <w:adjustRightInd w:val="0"/>
        <w:snapToGrid w:val="0"/>
        <w:ind w:left="340" w:hanging="340"/>
        <w:jc w:val="both"/>
        <w:rPr>
          <w:sz w:val="20"/>
          <w:szCs w:val="20"/>
        </w:rPr>
      </w:pPr>
      <w:r w:rsidRPr="00891E76">
        <w:rPr>
          <w:sz w:val="20"/>
          <w:szCs w:val="20"/>
        </w:rPr>
        <w:t>[</w:t>
      </w:r>
      <w:r w:rsidR="00611F8B" w:rsidRPr="00891E76">
        <w:rPr>
          <w:sz w:val="20"/>
          <w:szCs w:val="20"/>
          <w:lang w:val="en-US"/>
        </w:rPr>
        <w:t>42</w:t>
      </w:r>
      <w:r w:rsidRPr="00891E76">
        <w:rPr>
          <w:sz w:val="20"/>
          <w:szCs w:val="20"/>
        </w:rPr>
        <w:t>]</w:t>
      </w:r>
      <w:r w:rsidRPr="00891E76">
        <w:rPr>
          <w:sz w:val="20"/>
          <w:szCs w:val="20"/>
        </w:rPr>
        <w:tab/>
      </w:r>
      <w:r w:rsidRPr="00891E76">
        <w:rPr>
          <w:sz w:val="20"/>
          <w:szCs w:val="20"/>
          <w:vertAlign w:val="superscript"/>
        </w:rPr>
        <w:t xml:space="preserve"> </w:t>
      </w:r>
      <w:r w:rsidRPr="00891E76">
        <w:rPr>
          <w:sz w:val="20"/>
          <w:szCs w:val="20"/>
        </w:rPr>
        <w:t>Karban P., Mach F., Kůs P., Pánek</w:t>
      </w:r>
      <w:r w:rsidRPr="00891E76">
        <w:rPr>
          <w:sz w:val="20"/>
          <w:szCs w:val="20"/>
          <w:lang w:val="en-US"/>
        </w:rPr>
        <w:t xml:space="preserve"> </w:t>
      </w:r>
      <w:r w:rsidRPr="00891E76">
        <w:rPr>
          <w:sz w:val="20"/>
          <w:szCs w:val="20"/>
        </w:rPr>
        <w:t>D., Doležel I. </w:t>
      </w:r>
      <w:r w:rsidRPr="00891E76">
        <w:rPr>
          <w:sz w:val="20"/>
          <w:szCs w:val="20"/>
          <w:lang w:val="en-US"/>
        </w:rPr>
        <w:t xml:space="preserve">2013 </w:t>
      </w:r>
      <w:r w:rsidRPr="00891E76">
        <w:rPr>
          <w:sz w:val="20"/>
          <w:szCs w:val="20"/>
        </w:rPr>
        <w:t xml:space="preserve">Numerical solution of coupled problems using code Agros2D </w:t>
      </w:r>
      <w:r w:rsidRPr="00891E76">
        <w:rPr>
          <w:i/>
          <w:iCs/>
          <w:sz w:val="20"/>
          <w:szCs w:val="20"/>
        </w:rPr>
        <w:t>Computing</w:t>
      </w:r>
      <w:r w:rsidRPr="00891E76">
        <w:rPr>
          <w:sz w:val="20"/>
          <w:szCs w:val="20"/>
        </w:rPr>
        <w:t xml:space="preserve"> </w:t>
      </w:r>
      <w:r w:rsidRPr="00891E76">
        <w:rPr>
          <w:b/>
          <w:bCs/>
          <w:sz w:val="20"/>
          <w:szCs w:val="20"/>
        </w:rPr>
        <w:t>95 Issue 1 Supplement</w:t>
      </w:r>
      <w:r w:rsidRPr="00891E76">
        <w:rPr>
          <w:sz w:val="20"/>
          <w:szCs w:val="20"/>
        </w:rPr>
        <w:t xml:space="preserve"> 381-408</w:t>
      </w:r>
    </w:p>
    <w:p w14:paraId="236C12A9" w14:textId="620B9302"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611F8B" w:rsidRPr="00891E76">
        <w:rPr>
          <w:sz w:val="20"/>
          <w:szCs w:val="20"/>
          <w:lang w:val="en-US"/>
        </w:rPr>
        <w:t>43</w:t>
      </w:r>
      <w:r w:rsidRPr="00891E76">
        <w:rPr>
          <w:sz w:val="20"/>
          <w:szCs w:val="20"/>
        </w:rPr>
        <w:t xml:space="preserve">] Alladio, F., Mancuso, A., Micozzi, P. 2008 Rotating twisted filaments buoyancy: Comparison between the convective region of the sun and the edge of a tokamak plasma </w:t>
      </w:r>
      <w:r w:rsidRPr="00891E76">
        <w:rPr>
          <w:i/>
          <w:iCs/>
          <w:sz w:val="20"/>
          <w:szCs w:val="20"/>
        </w:rPr>
        <w:t>Plasma Physics and Controlled Fusion</w:t>
      </w:r>
      <w:r w:rsidRPr="00891E76">
        <w:rPr>
          <w:sz w:val="20"/>
          <w:szCs w:val="20"/>
        </w:rPr>
        <w:t> </w:t>
      </w:r>
      <w:r w:rsidRPr="00891E76">
        <w:rPr>
          <w:b/>
          <w:bCs/>
          <w:sz w:val="20"/>
          <w:szCs w:val="20"/>
        </w:rPr>
        <w:t xml:space="preserve">50 </w:t>
      </w:r>
      <w:r w:rsidRPr="00891E76">
        <w:rPr>
          <w:sz w:val="20"/>
          <w:szCs w:val="20"/>
        </w:rPr>
        <w:t>(12) 124019</w:t>
      </w:r>
    </w:p>
    <w:p w14:paraId="0414ACE6" w14:textId="2BB494C0" w:rsidR="000C28C4" w:rsidRPr="00891E76" w:rsidRDefault="000C28C4" w:rsidP="004019E5">
      <w:pPr>
        <w:adjustRightInd w:val="0"/>
        <w:snapToGrid w:val="0"/>
        <w:ind w:left="340" w:hanging="340"/>
        <w:jc w:val="both"/>
      </w:pPr>
      <w:r w:rsidRPr="00891E76">
        <w:rPr>
          <w:sz w:val="20"/>
          <w:szCs w:val="20"/>
        </w:rPr>
        <w:t>[</w:t>
      </w:r>
      <w:r w:rsidR="00611F8B" w:rsidRPr="00891E76">
        <w:rPr>
          <w:sz w:val="20"/>
          <w:szCs w:val="20"/>
        </w:rPr>
        <w:t>44</w:t>
      </w:r>
      <w:r w:rsidRPr="00891E76">
        <w:rPr>
          <w:sz w:val="20"/>
          <w:szCs w:val="20"/>
        </w:rPr>
        <w:t xml:space="preserve">] Hooper, E.B., Barnes, C.W., Bellan, P.M., Brown M.R., Fernandez J.C., Fowler T.K., Hill D.N., Jarboe T.R., LoDestro L.L., McLean H.S., Schaffer M.J., Thomassen K.I., Yamada M. 1998 </w:t>
      </w:r>
      <w:r w:rsidRPr="00891E76">
        <w:rPr>
          <w:rStyle w:val="italic"/>
          <w:color w:val="212529"/>
          <w:sz w:val="20"/>
          <w:szCs w:val="20"/>
          <w:shd w:val="clear" w:color="auto" w:fill="FFFFFF"/>
        </w:rPr>
        <w:t>The Spheromak path to fusion energy </w:t>
      </w:r>
      <w:r w:rsidRPr="00891E76">
        <w:rPr>
          <w:i/>
          <w:iCs/>
          <w:color w:val="212529"/>
          <w:sz w:val="20"/>
          <w:szCs w:val="20"/>
          <w:shd w:val="clear" w:color="auto" w:fill="FFFFFF"/>
        </w:rPr>
        <w:t xml:space="preserve">(UCRL-ID--130429) </w:t>
      </w:r>
      <w:r w:rsidRPr="00891E76">
        <w:rPr>
          <w:i/>
          <w:iCs/>
          <w:sz w:val="20"/>
          <w:szCs w:val="20"/>
        </w:rPr>
        <w:t>Lawrence Livermore National Laboratory</w:t>
      </w:r>
      <w:r w:rsidRPr="00891E76">
        <w:rPr>
          <w:color w:val="212529"/>
          <w:sz w:val="21"/>
          <w:szCs w:val="21"/>
          <w:shd w:val="clear" w:color="auto" w:fill="FFFFFF"/>
        </w:rPr>
        <w:t xml:space="preserve"> </w:t>
      </w:r>
      <w:r w:rsidRPr="00891E76">
        <w:rPr>
          <w:color w:val="000000" w:themeColor="text1"/>
          <w:sz w:val="20"/>
          <w:szCs w:val="20"/>
          <w:shd w:val="clear" w:color="auto" w:fill="FFFFFF"/>
        </w:rPr>
        <w:t>US Govt. Printing Office Dep</w:t>
      </w:r>
      <w:r w:rsidRPr="00891E76">
        <w:rPr>
          <w:i/>
          <w:iCs/>
          <w:color w:val="000000" w:themeColor="text1"/>
          <w:sz w:val="20"/>
          <w:szCs w:val="20"/>
        </w:rPr>
        <w:t xml:space="preserve"> </w:t>
      </w:r>
      <w:r w:rsidRPr="00891E76">
        <w:rPr>
          <w:sz w:val="20"/>
          <w:szCs w:val="20"/>
        </w:rPr>
        <w:t>(</w:t>
      </w:r>
      <w:hyperlink r:id="rId27" w:tgtFrame="_blank" w:tooltip="Link to document DOI" w:history="1">
        <w:r w:rsidRPr="00891E76">
          <w:rPr>
            <w:rStyle w:val="Hyperlink"/>
            <w:color w:val="23527C"/>
            <w:sz w:val="20"/>
            <w:szCs w:val="20"/>
            <w:shd w:val="clear" w:color="auto" w:fill="F9F9F9"/>
          </w:rPr>
          <w:t>https://doi.org/10.2172/304511</w:t>
        </w:r>
      </w:hyperlink>
      <w:r w:rsidRPr="00891E76">
        <w:rPr>
          <w:sz w:val="20"/>
          <w:szCs w:val="20"/>
        </w:rPr>
        <w:t>)</w:t>
      </w:r>
    </w:p>
    <w:p w14:paraId="47521D6E" w14:textId="77777777" w:rsidR="00D121F4" w:rsidRPr="007A3A7F" w:rsidRDefault="00D121F4" w:rsidP="004019E5">
      <w:pPr>
        <w:widowControl w:val="0"/>
        <w:adjustRightInd w:val="0"/>
        <w:snapToGrid w:val="0"/>
        <w:jc w:val="both"/>
        <w:rPr>
          <w:rFonts w:ascii="Times" w:hAnsi="Times"/>
          <w:sz w:val="20"/>
          <w:szCs w:val="20"/>
        </w:rPr>
      </w:pPr>
    </w:p>
    <w:sectPr w:rsidR="00D121F4" w:rsidRPr="007A3A7F" w:rsidSect="00BC4A2A">
      <w:footerReference w:type="even" r:id="rId28"/>
      <w:footerReference w:type="default" r:id="rId29"/>
      <w:pgSz w:w="11906" w:h="16838"/>
      <w:pgMar w:top="1417" w:right="1134" w:bottom="1134" w:left="1134" w:header="708" w:footer="73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1A70A" w14:textId="77777777" w:rsidR="00882496" w:rsidRDefault="00882496" w:rsidP="00554273">
      <w:r>
        <w:separator/>
      </w:r>
    </w:p>
  </w:endnote>
  <w:endnote w:type="continuationSeparator" w:id="0">
    <w:p w14:paraId="0B549977" w14:textId="77777777" w:rsidR="00882496" w:rsidRDefault="00882496" w:rsidP="0055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imSun">
    <w:panose1 w:val="02010600030101010101"/>
    <w:charset w:val="86"/>
    <w:family w:val="auto"/>
    <w:pitch w:val="variable"/>
    <w:sig w:usb0="00000003" w:usb1="288F0000" w:usb2="00000016" w:usb3="00000000" w:csb0="00040001" w:csb1="00000000"/>
  </w:font>
  <w:font w:name="NimbusRomNo9L">
    <w:altName w:val="Seravek Medium"/>
    <w:panose1 w:val="00000000000000000000"/>
    <w:charset w:val="00"/>
    <w:family w:val="auto"/>
    <w:notTrueType/>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12955" w14:textId="77777777" w:rsidR="000453AB" w:rsidRDefault="000453AB" w:rsidP="006A6CC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3E326C" w14:textId="77777777" w:rsidR="000453AB" w:rsidRDefault="000453A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1A38D" w14:textId="77777777" w:rsidR="006A6CC8" w:rsidRDefault="006A6CC8" w:rsidP="00D01F9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4141E">
      <w:rPr>
        <w:rStyle w:val="PageNumber"/>
        <w:noProof/>
      </w:rPr>
      <w:t>1</w:t>
    </w:r>
    <w:r>
      <w:rPr>
        <w:rStyle w:val="PageNumber"/>
      </w:rPr>
      <w:fldChar w:fldCharType="end"/>
    </w:r>
  </w:p>
  <w:p w14:paraId="47FDFD18" w14:textId="489EAC4B" w:rsidR="000453AB" w:rsidRDefault="000453AB">
    <w:pPr>
      <w:pStyle w:val="Footer"/>
      <w:jc w:val="right"/>
    </w:pPr>
  </w:p>
  <w:p w14:paraId="5330DE64" w14:textId="4A1784E2" w:rsidR="006A6CC8" w:rsidRDefault="006A6CC8" w:rsidP="006A6CC8">
    <w:pPr>
      <w:pStyle w:val="Footer"/>
      <w:rPr>
        <w:rStyle w:val="PageNumber"/>
      </w:rPr>
    </w:pPr>
  </w:p>
  <w:p w14:paraId="75E36106" w14:textId="77777777" w:rsidR="000453AB" w:rsidRDefault="000453A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8F29A" w14:textId="77777777" w:rsidR="00882496" w:rsidRDefault="00882496" w:rsidP="00554273">
      <w:r>
        <w:separator/>
      </w:r>
    </w:p>
  </w:footnote>
  <w:footnote w:type="continuationSeparator" w:id="0">
    <w:p w14:paraId="35FF0253" w14:textId="77777777" w:rsidR="00882496" w:rsidRDefault="00882496" w:rsidP="0055427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16876"/>
    <w:multiLevelType w:val="hybridMultilevel"/>
    <w:tmpl w:val="A510D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973100"/>
    <w:multiLevelType w:val="multilevel"/>
    <w:tmpl w:val="F48AD3A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D2F3EBC"/>
    <w:multiLevelType w:val="hybridMultilevel"/>
    <w:tmpl w:val="760AC66E"/>
    <w:lvl w:ilvl="0" w:tplc="51BE7906">
      <w:start w:val="1"/>
      <w:numFmt w:val="lowerLetter"/>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3">
    <w:nsid w:val="1D79677F"/>
    <w:multiLevelType w:val="hybridMultilevel"/>
    <w:tmpl w:val="9C76CC5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nsid w:val="1E55579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3611DA"/>
    <w:multiLevelType w:val="hybridMultilevel"/>
    <w:tmpl w:val="CBB69972"/>
    <w:lvl w:ilvl="0" w:tplc="1166CB8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nsid w:val="43FF54D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616553"/>
    <w:multiLevelType w:val="hybridMultilevel"/>
    <w:tmpl w:val="CE5AD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B8568B0"/>
    <w:multiLevelType w:val="hybridMultilevel"/>
    <w:tmpl w:val="9060452A"/>
    <w:lvl w:ilvl="0" w:tplc="94BEE2C8">
      <w:start w:val="2"/>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nsid w:val="7F177685"/>
    <w:multiLevelType w:val="hybridMultilevel"/>
    <w:tmpl w:val="3EB4CE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9"/>
  </w:num>
  <w:num w:numId="2">
    <w:abstractNumId w:val="7"/>
  </w:num>
  <w:num w:numId="3">
    <w:abstractNumId w:val="0"/>
  </w:num>
  <w:num w:numId="4">
    <w:abstractNumId w:val="6"/>
  </w:num>
  <w:num w:numId="5">
    <w:abstractNumId w:val="4"/>
  </w:num>
  <w:num w:numId="6">
    <w:abstractNumId w:val="1"/>
  </w:num>
  <w:num w:numId="7">
    <w:abstractNumId w:val="1"/>
    <w:lvlOverride w:ilvl="0">
      <w:startOverride w:val="4"/>
    </w:lvlOverride>
  </w:num>
  <w:num w:numId="8">
    <w:abstractNumId w:val="5"/>
  </w:num>
  <w:num w:numId="9">
    <w:abstractNumId w:val="2"/>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defaultTabStop w:val="720"/>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FB3"/>
    <w:rsid w:val="000035B6"/>
    <w:rsid w:val="00005C75"/>
    <w:rsid w:val="00006D96"/>
    <w:rsid w:val="000078C6"/>
    <w:rsid w:val="000117B3"/>
    <w:rsid w:val="00013642"/>
    <w:rsid w:val="00014412"/>
    <w:rsid w:val="00017414"/>
    <w:rsid w:val="00020C07"/>
    <w:rsid w:val="00024140"/>
    <w:rsid w:val="00024AB0"/>
    <w:rsid w:val="000265E8"/>
    <w:rsid w:val="00027A9A"/>
    <w:rsid w:val="000304D6"/>
    <w:rsid w:val="00032200"/>
    <w:rsid w:val="00041204"/>
    <w:rsid w:val="000453AB"/>
    <w:rsid w:val="00047A0C"/>
    <w:rsid w:val="000550C0"/>
    <w:rsid w:val="00056D9F"/>
    <w:rsid w:val="00061D71"/>
    <w:rsid w:val="00065510"/>
    <w:rsid w:val="0007140B"/>
    <w:rsid w:val="00072B34"/>
    <w:rsid w:val="0007321F"/>
    <w:rsid w:val="0007620D"/>
    <w:rsid w:val="0007673D"/>
    <w:rsid w:val="00076BA9"/>
    <w:rsid w:val="000809A1"/>
    <w:rsid w:val="00080E82"/>
    <w:rsid w:val="0008676B"/>
    <w:rsid w:val="0008693F"/>
    <w:rsid w:val="0009209A"/>
    <w:rsid w:val="00095635"/>
    <w:rsid w:val="000A0040"/>
    <w:rsid w:val="000A49BC"/>
    <w:rsid w:val="000B3013"/>
    <w:rsid w:val="000B498B"/>
    <w:rsid w:val="000C0CC2"/>
    <w:rsid w:val="000C28C4"/>
    <w:rsid w:val="000C4A6E"/>
    <w:rsid w:val="000D0EEB"/>
    <w:rsid w:val="000D3635"/>
    <w:rsid w:val="000D516B"/>
    <w:rsid w:val="000D6598"/>
    <w:rsid w:val="000D7707"/>
    <w:rsid w:val="000D777C"/>
    <w:rsid w:val="000E0458"/>
    <w:rsid w:val="000E09F7"/>
    <w:rsid w:val="000E1273"/>
    <w:rsid w:val="000E33CE"/>
    <w:rsid w:val="000E4747"/>
    <w:rsid w:val="000E52D8"/>
    <w:rsid w:val="000E6976"/>
    <w:rsid w:val="000F0427"/>
    <w:rsid w:val="000F22A8"/>
    <w:rsid w:val="000F7507"/>
    <w:rsid w:val="00104478"/>
    <w:rsid w:val="00104F08"/>
    <w:rsid w:val="0010594C"/>
    <w:rsid w:val="00112683"/>
    <w:rsid w:val="0011302A"/>
    <w:rsid w:val="00114AE0"/>
    <w:rsid w:val="00120488"/>
    <w:rsid w:val="0012238D"/>
    <w:rsid w:val="00131981"/>
    <w:rsid w:val="001321EF"/>
    <w:rsid w:val="001339CE"/>
    <w:rsid w:val="00140A85"/>
    <w:rsid w:val="00140C80"/>
    <w:rsid w:val="00141B60"/>
    <w:rsid w:val="00146FE7"/>
    <w:rsid w:val="001621E4"/>
    <w:rsid w:val="001665ED"/>
    <w:rsid w:val="00167065"/>
    <w:rsid w:val="0016745A"/>
    <w:rsid w:val="00173358"/>
    <w:rsid w:val="00180B8E"/>
    <w:rsid w:val="00181178"/>
    <w:rsid w:val="001844F7"/>
    <w:rsid w:val="00184D84"/>
    <w:rsid w:val="00187ED3"/>
    <w:rsid w:val="00194679"/>
    <w:rsid w:val="00197B2C"/>
    <w:rsid w:val="001A5629"/>
    <w:rsid w:val="001A58F4"/>
    <w:rsid w:val="001A5924"/>
    <w:rsid w:val="001B5B5B"/>
    <w:rsid w:val="001C3D7F"/>
    <w:rsid w:val="001C6240"/>
    <w:rsid w:val="001C6CB9"/>
    <w:rsid w:val="001D293C"/>
    <w:rsid w:val="001E7C97"/>
    <w:rsid w:val="001F2082"/>
    <w:rsid w:val="001F38D0"/>
    <w:rsid w:val="00204BBF"/>
    <w:rsid w:val="00206253"/>
    <w:rsid w:val="00206A00"/>
    <w:rsid w:val="00206E2B"/>
    <w:rsid w:val="002073CA"/>
    <w:rsid w:val="00210032"/>
    <w:rsid w:val="002164A9"/>
    <w:rsid w:val="00216D24"/>
    <w:rsid w:val="00220C29"/>
    <w:rsid w:val="0022115D"/>
    <w:rsid w:val="00225366"/>
    <w:rsid w:val="00225AD6"/>
    <w:rsid w:val="0022720F"/>
    <w:rsid w:val="00230175"/>
    <w:rsid w:val="0023118B"/>
    <w:rsid w:val="00231E76"/>
    <w:rsid w:val="002425F4"/>
    <w:rsid w:val="002430F9"/>
    <w:rsid w:val="0024584A"/>
    <w:rsid w:val="00254166"/>
    <w:rsid w:val="002552D8"/>
    <w:rsid w:val="00255835"/>
    <w:rsid w:val="002636FA"/>
    <w:rsid w:val="002663E5"/>
    <w:rsid w:val="002754B7"/>
    <w:rsid w:val="0027590D"/>
    <w:rsid w:val="00276EDE"/>
    <w:rsid w:val="00284C05"/>
    <w:rsid w:val="00286B14"/>
    <w:rsid w:val="00291347"/>
    <w:rsid w:val="00292F69"/>
    <w:rsid w:val="002939CB"/>
    <w:rsid w:val="002967EF"/>
    <w:rsid w:val="002A04B3"/>
    <w:rsid w:val="002A21CF"/>
    <w:rsid w:val="002A2CC6"/>
    <w:rsid w:val="002A4F13"/>
    <w:rsid w:val="002A52D4"/>
    <w:rsid w:val="002A5F60"/>
    <w:rsid w:val="002A6890"/>
    <w:rsid w:val="002A72C1"/>
    <w:rsid w:val="002A7764"/>
    <w:rsid w:val="002B01F8"/>
    <w:rsid w:val="002B172F"/>
    <w:rsid w:val="002B64A9"/>
    <w:rsid w:val="002C15CE"/>
    <w:rsid w:val="002C5007"/>
    <w:rsid w:val="002C5158"/>
    <w:rsid w:val="002C53CF"/>
    <w:rsid w:val="002C65EC"/>
    <w:rsid w:val="002D0864"/>
    <w:rsid w:val="002D25EE"/>
    <w:rsid w:val="002D5494"/>
    <w:rsid w:val="002D589F"/>
    <w:rsid w:val="002D7310"/>
    <w:rsid w:val="002D7DD8"/>
    <w:rsid w:val="002D7F82"/>
    <w:rsid w:val="002E214D"/>
    <w:rsid w:val="002E3F78"/>
    <w:rsid w:val="002E4BC6"/>
    <w:rsid w:val="002E4C13"/>
    <w:rsid w:val="002E5245"/>
    <w:rsid w:val="002F52B3"/>
    <w:rsid w:val="002F5C8F"/>
    <w:rsid w:val="002F7327"/>
    <w:rsid w:val="003028C1"/>
    <w:rsid w:val="0031417C"/>
    <w:rsid w:val="00314E12"/>
    <w:rsid w:val="003224D4"/>
    <w:rsid w:val="00323560"/>
    <w:rsid w:val="00325006"/>
    <w:rsid w:val="00326F5E"/>
    <w:rsid w:val="00327160"/>
    <w:rsid w:val="00327862"/>
    <w:rsid w:val="003337EC"/>
    <w:rsid w:val="00333D62"/>
    <w:rsid w:val="003421F8"/>
    <w:rsid w:val="00351CA1"/>
    <w:rsid w:val="00352B1F"/>
    <w:rsid w:val="003555F8"/>
    <w:rsid w:val="00355D95"/>
    <w:rsid w:val="003640C2"/>
    <w:rsid w:val="003670FE"/>
    <w:rsid w:val="003720CD"/>
    <w:rsid w:val="00373598"/>
    <w:rsid w:val="00373FB3"/>
    <w:rsid w:val="0037511E"/>
    <w:rsid w:val="003769B6"/>
    <w:rsid w:val="00382D1F"/>
    <w:rsid w:val="003837C1"/>
    <w:rsid w:val="0039269C"/>
    <w:rsid w:val="00393E3D"/>
    <w:rsid w:val="003962AB"/>
    <w:rsid w:val="00397101"/>
    <w:rsid w:val="003973F0"/>
    <w:rsid w:val="003B067D"/>
    <w:rsid w:val="003B14A7"/>
    <w:rsid w:val="003B3BC7"/>
    <w:rsid w:val="003C15BB"/>
    <w:rsid w:val="003C418A"/>
    <w:rsid w:val="003C47A9"/>
    <w:rsid w:val="003C60A1"/>
    <w:rsid w:val="003C6665"/>
    <w:rsid w:val="003C696F"/>
    <w:rsid w:val="003D0131"/>
    <w:rsid w:val="003D14E3"/>
    <w:rsid w:val="003D5E4B"/>
    <w:rsid w:val="003E103E"/>
    <w:rsid w:val="003E1257"/>
    <w:rsid w:val="003E1374"/>
    <w:rsid w:val="003E2754"/>
    <w:rsid w:val="003E285E"/>
    <w:rsid w:val="003E2A57"/>
    <w:rsid w:val="003E36A9"/>
    <w:rsid w:val="003E4337"/>
    <w:rsid w:val="003E5856"/>
    <w:rsid w:val="003E62A2"/>
    <w:rsid w:val="003E775B"/>
    <w:rsid w:val="003F071E"/>
    <w:rsid w:val="003F340A"/>
    <w:rsid w:val="00401745"/>
    <w:rsid w:val="004019E5"/>
    <w:rsid w:val="004020F7"/>
    <w:rsid w:val="004035CC"/>
    <w:rsid w:val="00406E37"/>
    <w:rsid w:val="0041340A"/>
    <w:rsid w:val="00417522"/>
    <w:rsid w:val="0042122C"/>
    <w:rsid w:val="004227D0"/>
    <w:rsid w:val="00423AE3"/>
    <w:rsid w:val="00425B6D"/>
    <w:rsid w:val="00431625"/>
    <w:rsid w:val="0043322E"/>
    <w:rsid w:val="00436798"/>
    <w:rsid w:val="00436F1F"/>
    <w:rsid w:val="00437BC1"/>
    <w:rsid w:val="00442378"/>
    <w:rsid w:val="00445AD6"/>
    <w:rsid w:val="00445F4D"/>
    <w:rsid w:val="00450C8E"/>
    <w:rsid w:val="00451159"/>
    <w:rsid w:val="004516CC"/>
    <w:rsid w:val="00460C7E"/>
    <w:rsid w:val="0046632D"/>
    <w:rsid w:val="00470D26"/>
    <w:rsid w:val="00473263"/>
    <w:rsid w:val="0048019E"/>
    <w:rsid w:val="00493285"/>
    <w:rsid w:val="00494E14"/>
    <w:rsid w:val="0049563B"/>
    <w:rsid w:val="004965F6"/>
    <w:rsid w:val="004A043C"/>
    <w:rsid w:val="004A2F06"/>
    <w:rsid w:val="004A5E90"/>
    <w:rsid w:val="004A789C"/>
    <w:rsid w:val="004B344F"/>
    <w:rsid w:val="004B5EF1"/>
    <w:rsid w:val="004C236C"/>
    <w:rsid w:val="004C2399"/>
    <w:rsid w:val="004C50D8"/>
    <w:rsid w:val="004C593C"/>
    <w:rsid w:val="004E01CE"/>
    <w:rsid w:val="004E04DF"/>
    <w:rsid w:val="004E1D9C"/>
    <w:rsid w:val="004E4D20"/>
    <w:rsid w:val="004F1A87"/>
    <w:rsid w:val="004F3164"/>
    <w:rsid w:val="004F48E0"/>
    <w:rsid w:val="004F535B"/>
    <w:rsid w:val="005021EF"/>
    <w:rsid w:val="00504D7C"/>
    <w:rsid w:val="00512D41"/>
    <w:rsid w:val="005142FB"/>
    <w:rsid w:val="00516007"/>
    <w:rsid w:val="005169C3"/>
    <w:rsid w:val="005179F2"/>
    <w:rsid w:val="00517BCC"/>
    <w:rsid w:val="0052042D"/>
    <w:rsid w:val="005206DC"/>
    <w:rsid w:val="00520F1C"/>
    <w:rsid w:val="00521260"/>
    <w:rsid w:val="005224E0"/>
    <w:rsid w:val="00522A9C"/>
    <w:rsid w:val="00531984"/>
    <w:rsid w:val="00532635"/>
    <w:rsid w:val="00540073"/>
    <w:rsid w:val="00541903"/>
    <w:rsid w:val="00542B3E"/>
    <w:rsid w:val="00545391"/>
    <w:rsid w:val="005503C5"/>
    <w:rsid w:val="00554273"/>
    <w:rsid w:val="00556CCB"/>
    <w:rsid w:val="00560BEB"/>
    <w:rsid w:val="00561555"/>
    <w:rsid w:val="0056319C"/>
    <w:rsid w:val="005645C8"/>
    <w:rsid w:val="0056575C"/>
    <w:rsid w:val="0056615A"/>
    <w:rsid w:val="00566268"/>
    <w:rsid w:val="00571B61"/>
    <w:rsid w:val="00584A51"/>
    <w:rsid w:val="0058532E"/>
    <w:rsid w:val="0059107B"/>
    <w:rsid w:val="00591FA7"/>
    <w:rsid w:val="00592DA4"/>
    <w:rsid w:val="005937F5"/>
    <w:rsid w:val="00593C29"/>
    <w:rsid w:val="00594139"/>
    <w:rsid w:val="0059502C"/>
    <w:rsid w:val="00595DEC"/>
    <w:rsid w:val="005965AE"/>
    <w:rsid w:val="005A4AB7"/>
    <w:rsid w:val="005A7504"/>
    <w:rsid w:val="005A7F1D"/>
    <w:rsid w:val="005B1837"/>
    <w:rsid w:val="005B58C7"/>
    <w:rsid w:val="005B708E"/>
    <w:rsid w:val="005B7414"/>
    <w:rsid w:val="005C016C"/>
    <w:rsid w:val="005C1EE4"/>
    <w:rsid w:val="005C6C12"/>
    <w:rsid w:val="005C78C1"/>
    <w:rsid w:val="005D13FC"/>
    <w:rsid w:val="005D6908"/>
    <w:rsid w:val="005D7FE6"/>
    <w:rsid w:val="005E1538"/>
    <w:rsid w:val="005E287C"/>
    <w:rsid w:val="005E5E02"/>
    <w:rsid w:val="005F1C94"/>
    <w:rsid w:val="005F1D8A"/>
    <w:rsid w:val="005F2553"/>
    <w:rsid w:val="005F5FF5"/>
    <w:rsid w:val="00601673"/>
    <w:rsid w:val="006032B9"/>
    <w:rsid w:val="00605F08"/>
    <w:rsid w:val="00610308"/>
    <w:rsid w:val="00611380"/>
    <w:rsid w:val="00611F8B"/>
    <w:rsid w:val="00612BD5"/>
    <w:rsid w:val="00612D8B"/>
    <w:rsid w:val="00617A5A"/>
    <w:rsid w:val="00621577"/>
    <w:rsid w:val="006224A6"/>
    <w:rsid w:val="00624FDD"/>
    <w:rsid w:val="006260BE"/>
    <w:rsid w:val="00630A5E"/>
    <w:rsid w:val="00631ABB"/>
    <w:rsid w:val="006348B6"/>
    <w:rsid w:val="00635FBC"/>
    <w:rsid w:val="00636A28"/>
    <w:rsid w:val="0063777B"/>
    <w:rsid w:val="00641B64"/>
    <w:rsid w:val="0065007D"/>
    <w:rsid w:val="006509BC"/>
    <w:rsid w:val="00653B63"/>
    <w:rsid w:val="00675283"/>
    <w:rsid w:val="00676034"/>
    <w:rsid w:val="00687722"/>
    <w:rsid w:val="00693C69"/>
    <w:rsid w:val="00694D84"/>
    <w:rsid w:val="00695E04"/>
    <w:rsid w:val="006967F3"/>
    <w:rsid w:val="006968F2"/>
    <w:rsid w:val="006A3517"/>
    <w:rsid w:val="006A4AA4"/>
    <w:rsid w:val="006A6CC8"/>
    <w:rsid w:val="006A7D59"/>
    <w:rsid w:val="006B0CC5"/>
    <w:rsid w:val="006B0D25"/>
    <w:rsid w:val="006B7466"/>
    <w:rsid w:val="006C089C"/>
    <w:rsid w:val="006D4AB3"/>
    <w:rsid w:val="006D4FD6"/>
    <w:rsid w:val="006D57FA"/>
    <w:rsid w:val="006D6F6D"/>
    <w:rsid w:val="006E3457"/>
    <w:rsid w:val="006E404C"/>
    <w:rsid w:val="006E4FC3"/>
    <w:rsid w:val="006F05D5"/>
    <w:rsid w:val="0070142A"/>
    <w:rsid w:val="00702C89"/>
    <w:rsid w:val="00704374"/>
    <w:rsid w:val="00706C21"/>
    <w:rsid w:val="00710950"/>
    <w:rsid w:val="00710E35"/>
    <w:rsid w:val="00711F17"/>
    <w:rsid w:val="0071333C"/>
    <w:rsid w:val="00713B9A"/>
    <w:rsid w:val="00714393"/>
    <w:rsid w:val="007205D6"/>
    <w:rsid w:val="0072404F"/>
    <w:rsid w:val="007252E1"/>
    <w:rsid w:val="00725769"/>
    <w:rsid w:val="007269AA"/>
    <w:rsid w:val="00731FF9"/>
    <w:rsid w:val="00735652"/>
    <w:rsid w:val="00740D42"/>
    <w:rsid w:val="00742A5D"/>
    <w:rsid w:val="00742DEE"/>
    <w:rsid w:val="00750B25"/>
    <w:rsid w:val="00762628"/>
    <w:rsid w:val="007724CF"/>
    <w:rsid w:val="00775505"/>
    <w:rsid w:val="007766D6"/>
    <w:rsid w:val="00781F6E"/>
    <w:rsid w:val="00782E10"/>
    <w:rsid w:val="00784A35"/>
    <w:rsid w:val="0078530F"/>
    <w:rsid w:val="00787965"/>
    <w:rsid w:val="00793E5D"/>
    <w:rsid w:val="007951B8"/>
    <w:rsid w:val="00795ED1"/>
    <w:rsid w:val="007A1537"/>
    <w:rsid w:val="007A1C24"/>
    <w:rsid w:val="007A3752"/>
    <w:rsid w:val="007A3A7F"/>
    <w:rsid w:val="007A4DB0"/>
    <w:rsid w:val="007A5ADE"/>
    <w:rsid w:val="007B40FC"/>
    <w:rsid w:val="007C09F0"/>
    <w:rsid w:val="007C3950"/>
    <w:rsid w:val="007C4326"/>
    <w:rsid w:val="007C47CB"/>
    <w:rsid w:val="007C4A67"/>
    <w:rsid w:val="007D0DFC"/>
    <w:rsid w:val="007D31DF"/>
    <w:rsid w:val="007D3EF5"/>
    <w:rsid w:val="007D409A"/>
    <w:rsid w:val="007D40CA"/>
    <w:rsid w:val="007D4A89"/>
    <w:rsid w:val="007D4BC9"/>
    <w:rsid w:val="007D5C10"/>
    <w:rsid w:val="007E0933"/>
    <w:rsid w:val="007E15ED"/>
    <w:rsid w:val="007E1BC1"/>
    <w:rsid w:val="007E3AAD"/>
    <w:rsid w:val="007F013A"/>
    <w:rsid w:val="007F20B9"/>
    <w:rsid w:val="007F641E"/>
    <w:rsid w:val="007F76DA"/>
    <w:rsid w:val="0080016B"/>
    <w:rsid w:val="008018FE"/>
    <w:rsid w:val="008149B3"/>
    <w:rsid w:val="00817A9D"/>
    <w:rsid w:val="00817AFC"/>
    <w:rsid w:val="0082274E"/>
    <w:rsid w:val="00823F45"/>
    <w:rsid w:val="00824451"/>
    <w:rsid w:val="00831414"/>
    <w:rsid w:val="008334D9"/>
    <w:rsid w:val="00852117"/>
    <w:rsid w:val="00852549"/>
    <w:rsid w:val="008527D0"/>
    <w:rsid w:val="00852C37"/>
    <w:rsid w:val="00854DA3"/>
    <w:rsid w:val="0085740E"/>
    <w:rsid w:val="00857B46"/>
    <w:rsid w:val="008643C6"/>
    <w:rsid w:val="00871467"/>
    <w:rsid w:val="00871D0B"/>
    <w:rsid w:val="00874575"/>
    <w:rsid w:val="00882496"/>
    <w:rsid w:val="0088690A"/>
    <w:rsid w:val="00887CFC"/>
    <w:rsid w:val="008902F3"/>
    <w:rsid w:val="00891E76"/>
    <w:rsid w:val="00895144"/>
    <w:rsid w:val="00895547"/>
    <w:rsid w:val="008963C4"/>
    <w:rsid w:val="008A0AC6"/>
    <w:rsid w:val="008A313B"/>
    <w:rsid w:val="008A7E01"/>
    <w:rsid w:val="008B4E0C"/>
    <w:rsid w:val="008C2DE3"/>
    <w:rsid w:val="008C6965"/>
    <w:rsid w:val="008C6E0F"/>
    <w:rsid w:val="008D54F9"/>
    <w:rsid w:val="008E0644"/>
    <w:rsid w:val="008E7743"/>
    <w:rsid w:val="008F17F1"/>
    <w:rsid w:val="008F491B"/>
    <w:rsid w:val="008F62FA"/>
    <w:rsid w:val="008F7C14"/>
    <w:rsid w:val="009031A4"/>
    <w:rsid w:val="0090339C"/>
    <w:rsid w:val="00903C7B"/>
    <w:rsid w:val="00904B31"/>
    <w:rsid w:val="009060F7"/>
    <w:rsid w:val="0090714C"/>
    <w:rsid w:val="009149D1"/>
    <w:rsid w:val="009179A8"/>
    <w:rsid w:val="00921AD3"/>
    <w:rsid w:val="00923894"/>
    <w:rsid w:val="00925E69"/>
    <w:rsid w:val="00926CB9"/>
    <w:rsid w:val="00927441"/>
    <w:rsid w:val="00935BD8"/>
    <w:rsid w:val="00944E75"/>
    <w:rsid w:val="00960F55"/>
    <w:rsid w:val="00960FFD"/>
    <w:rsid w:val="00965E5C"/>
    <w:rsid w:val="0097077A"/>
    <w:rsid w:val="00974147"/>
    <w:rsid w:val="00974C21"/>
    <w:rsid w:val="0098128F"/>
    <w:rsid w:val="009812E9"/>
    <w:rsid w:val="00981C77"/>
    <w:rsid w:val="00982641"/>
    <w:rsid w:val="009826B4"/>
    <w:rsid w:val="00984A20"/>
    <w:rsid w:val="00984A6F"/>
    <w:rsid w:val="0098630B"/>
    <w:rsid w:val="00987D52"/>
    <w:rsid w:val="00991901"/>
    <w:rsid w:val="009A03EC"/>
    <w:rsid w:val="009A11C0"/>
    <w:rsid w:val="009A3C33"/>
    <w:rsid w:val="009A6A9A"/>
    <w:rsid w:val="009B1C6A"/>
    <w:rsid w:val="009B5435"/>
    <w:rsid w:val="009B6B52"/>
    <w:rsid w:val="009C2221"/>
    <w:rsid w:val="009C3AA0"/>
    <w:rsid w:val="009D1A40"/>
    <w:rsid w:val="009D4040"/>
    <w:rsid w:val="009D43D8"/>
    <w:rsid w:val="009D6A05"/>
    <w:rsid w:val="009D6EFA"/>
    <w:rsid w:val="009E4CB3"/>
    <w:rsid w:val="009F030B"/>
    <w:rsid w:val="009F2B9D"/>
    <w:rsid w:val="009F4D4D"/>
    <w:rsid w:val="00A00FE5"/>
    <w:rsid w:val="00A01A81"/>
    <w:rsid w:val="00A06E79"/>
    <w:rsid w:val="00A13D03"/>
    <w:rsid w:val="00A240C0"/>
    <w:rsid w:val="00A30EBE"/>
    <w:rsid w:val="00A310DE"/>
    <w:rsid w:val="00A3166F"/>
    <w:rsid w:val="00A334C1"/>
    <w:rsid w:val="00A35124"/>
    <w:rsid w:val="00A406CA"/>
    <w:rsid w:val="00A4141E"/>
    <w:rsid w:val="00A42903"/>
    <w:rsid w:val="00A47030"/>
    <w:rsid w:val="00A51AE5"/>
    <w:rsid w:val="00A522C4"/>
    <w:rsid w:val="00A52DD8"/>
    <w:rsid w:val="00A561C1"/>
    <w:rsid w:val="00A566C6"/>
    <w:rsid w:val="00A572C6"/>
    <w:rsid w:val="00A57749"/>
    <w:rsid w:val="00A61AEB"/>
    <w:rsid w:val="00A647AA"/>
    <w:rsid w:val="00A66C4C"/>
    <w:rsid w:val="00A71826"/>
    <w:rsid w:val="00A72B59"/>
    <w:rsid w:val="00A75AE3"/>
    <w:rsid w:val="00A75D8B"/>
    <w:rsid w:val="00A81335"/>
    <w:rsid w:val="00A81C08"/>
    <w:rsid w:val="00A83C42"/>
    <w:rsid w:val="00A86568"/>
    <w:rsid w:val="00A91E3E"/>
    <w:rsid w:val="00A932A5"/>
    <w:rsid w:val="00A95BF7"/>
    <w:rsid w:val="00A9603A"/>
    <w:rsid w:val="00AA0146"/>
    <w:rsid w:val="00AA01A1"/>
    <w:rsid w:val="00AA2E2B"/>
    <w:rsid w:val="00AA406A"/>
    <w:rsid w:val="00AB42CF"/>
    <w:rsid w:val="00AB4C83"/>
    <w:rsid w:val="00AB6E53"/>
    <w:rsid w:val="00AC28AD"/>
    <w:rsid w:val="00AD6A5A"/>
    <w:rsid w:val="00AE0D33"/>
    <w:rsid w:val="00AF4BD0"/>
    <w:rsid w:val="00AF7EBD"/>
    <w:rsid w:val="00B01EC7"/>
    <w:rsid w:val="00B064C8"/>
    <w:rsid w:val="00B11018"/>
    <w:rsid w:val="00B12A60"/>
    <w:rsid w:val="00B14D98"/>
    <w:rsid w:val="00B20AAC"/>
    <w:rsid w:val="00B233B5"/>
    <w:rsid w:val="00B23BAC"/>
    <w:rsid w:val="00B25E94"/>
    <w:rsid w:val="00B33694"/>
    <w:rsid w:val="00B36C22"/>
    <w:rsid w:val="00B4585E"/>
    <w:rsid w:val="00B512EE"/>
    <w:rsid w:val="00B57B37"/>
    <w:rsid w:val="00B61A40"/>
    <w:rsid w:val="00B620A9"/>
    <w:rsid w:val="00B6373D"/>
    <w:rsid w:val="00B730B9"/>
    <w:rsid w:val="00B74557"/>
    <w:rsid w:val="00B76267"/>
    <w:rsid w:val="00B81295"/>
    <w:rsid w:val="00B925E4"/>
    <w:rsid w:val="00B938D6"/>
    <w:rsid w:val="00B93C83"/>
    <w:rsid w:val="00BA12AC"/>
    <w:rsid w:val="00BA571A"/>
    <w:rsid w:val="00BB0A78"/>
    <w:rsid w:val="00BB4CF4"/>
    <w:rsid w:val="00BC4A2A"/>
    <w:rsid w:val="00BC6093"/>
    <w:rsid w:val="00BC77FB"/>
    <w:rsid w:val="00BD32E1"/>
    <w:rsid w:val="00BD367D"/>
    <w:rsid w:val="00BD428C"/>
    <w:rsid w:val="00BE2086"/>
    <w:rsid w:val="00BE4E66"/>
    <w:rsid w:val="00BE568E"/>
    <w:rsid w:val="00BE5CD8"/>
    <w:rsid w:val="00BE79E6"/>
    <w:rsid w:val="00BF3E70"/>
    <w:rsid w:val="00BF4BD0"/>
    <w:rsid w:val="00BF7EAD"/>
    <w:rsid w:val="00C051B4"/>
    <w:rsid w:val="00C10D22"/>
    <w:rsid w:val="00C1473B"/>
    <w:rsid w:val="00C149FD"/>
    <w:rsid w:val="00C1526C"/>
    <w:rsid w:val="00C210F7"/>
    <w:rsid w:val="00C22320"/>
    <w:rsid w:val="00C2255E"/>
    <w:rsid w:val="00C23017"/>
    <w:rsid w:val="00C260B7"/>
    <w:rsid w:val="00C27789"/>
    <w:rsid w:val="00C34674"/>
    <w:rsid w:val="00C354A7"/>
    <w:rsid w:val="00C36004"/>
    <w:rsid w:val="00C409DE"/>
    <w:rsid w:val="00C40FFB"/>
    <w:rsid w:val="00C5093E"/>
    <w:rsid w:val="00C518ED"/>
    <w:rsid w:val="00C53972"/>
    <w:rsid w:val="00C57726"/>
    <w:rsid w:val="00C63E17"/>
    <w:rsid w:val="00C70D1C"/>
    <w:rsid w:val="00C71153"/>
    <w:rsid w:val="00C7118B"/>
    <w:rsid w:val="00C74C23"/>
    <w:rsid w:val="00C75394"/>
    <w:rsid w:val="00C77DCD"/>
    <w:rsid w:val="00C80754"/>
    <w:rsid w:val="00C84382"/>
    <w:rsid w:val="00C8678A"/>
    <w:rsid w:val="00C91860"/>
    <w:rsid w:val="00CA18AE"/>
    <w:rsid w:val="00CA1FCA"/>
    <w:rsid w:val="00CC23BC"/>
    <w:rsid w:val="00CC5DFE"/>
    <w:rsid w:val="00CC5E1F"/>
    <w:rsid w:val="00CC7426"/>
    <w:rsid w:val="00CD0800"/>
    <w:rsid w:val="00CD1832"/>
    <w:rsid w:val="00CD2A20"/>
    <w:rsid w:val="00CD6020"/>
    <w:rsid w:val="00CD63E3"/>
    <w:rsid w:val="00CD78F4"/>
    <w:rsid w:val="00CE10C2"/>
    <w:rsid w:val="00CE4D49"/>
    <w:rsid w:val="00CE527F"/>
    <w:rsid w:val="00CF23F4"/>
    <w:rsid w:val="00D00859"/>
    <w:rsid w:val="00D00A83"/>
    <w:rsid w:val="00D01A29"/>
    <w:rsid w:val="00D03931"/>
    <w:rsid w:val="00D05D9D"/>
    <w:rsid w:val="00D107ED"/>
    <w:rsid w:val="00D121F4"/>
    <w:rsid w:val="00D15FAA"/>
    <w:rsid w:val="00D16551"/>
    <w:rsid w:val="00D176DD"/>
    <w:rsid w:val="00D201AC"/>
    <w:rsid w:val="00D20804"/>
    <w:rsid w:val="00D21A0D"/>
    <w:rsid w:val="00D21ECE"/>
    <w:rsid w:val="00D26BB3"/>
    <w:rsid w:val="00D3201E"/>
    <w:rsid w:val="00D322FE"/>
    <w:rsid w:val="00D3538D"/>
    <w:rsid w:val="00D35C92"/>
    <w:rsid w:val="00D4095E"/>
    <w:rsid w:val="00D47026"/>
    <w:rsid w:val="00D51E10"/>
    <w:rsid w:val="00D544F2"/>
    <w:rsid w:val="00D61050"/>
    <w:rsid w:val="00D6290C"/>
    <w:rsid w:val="00D62C21"/>
    <w:rsid w:val="00D6332A"/>
    <w:rsid w:val="00D67CB3"/>
    <w:rsid w:val="00D73998"/>
    <w:rsid w:val="00D75E1F"/>
    <w:rsid w:val="00D76B77"/>
    <w:rsid w:val="00D81952"/>
    <w:rsid w:val="00D8525E"/>
    <w:rsid w:val="00D87CA5"/>
    <w:rsid w:val="00D91686"/>
    <w:rsid w:val="00D947C3"/>
    <w:rsid w:val="00DA0E08"/>
    <w:rsid w:val="00DA206E"/>
    <w:rsid w:val="00DB006C"/>
    <w:rsid w:val="00DB4F48"/>
    <w:rsid w:val="00DB5B37"/>
    <w:rsid w:val="00DB6E3A"/>
    <w:rsid w:val="00DC12E1"/>
    <w:rsid w:val="00DC2203"/>
    <w:rsid w:val="00DC3DC0"/>
    <w:rsid w:val="00DC4356"/>
    <w:rsid w:val="00DC535E"/>
    <w:rsid w:val="00DC56DE"/>
    <w:rsid w:val="00DC7412"/>
    <w:rsid w:val="00DC754E"/>
    <w:rsid w:val="00DD293F"/>
    <w:rsid w:val="00DD78E5"/>
    <w:rsid w:val="00DE4A39"/>
    <w:rsid w:val="00DE549D"/>
    <w:rsid w:val="00DF4238"/>
    <w:rsid w:val="00DF57EE"/>
    <w:rsid w:val="00DF5879"/>
    <w:rsid w:val="00E01745"/>
    <w:rsid w:val="00E0364A"/>
    <w:rsid w:val="00E03B6E"/>
    <w:rsid w:val="00E12633"/>
    <w:rsid w:val="00E130F1"/>
    <w:rsid w:val="00E14734"/>
    <w:rsid w:val="00E14A32"/>
    <w:rsid w:val="00E1641B"/>
    <w:rsid w:val="00E16CC7"/>
    <w:rsid w:val="00E176D2"/>
    <w:rsid w:val="00E21C87"/>
    <w:rsid w:val="00E21D18"/>
    <w:rsid w:val="00E23253"/>
    <w:rsid w:val="00E2471A"/>
    <w:rsid w:val="00E25B37"/>
    <w:rsid w:val="00E26195"/>
    <w:rsid w:val="00E27527"/>
    <w:rsid w:val="00E3046C"/>
    <w:rsid w:val="00E322FF"/>
    <w:rsid w:val="00E37DFC"/>
    <w:rsid w:val="00E40C9A"/>
    <w:rsid w:val="00E42CFF"/>
    <w:rsid w:val="00E43646"/>
    <w:rsid w:val="00E44D8E"/>
    <w:rsid w:val="00E45C6F"/>
    <w:rsid w:val="00E47C5B"/>
    <w:rsid w:val="00E54362"/>
    <w:rsid w:val="00E54A7E"/>
    <w:rsid w:val="00E54EBD"/>
    <w:rsid w:val="00E6157F"/>
    <w:rsid w:val="00E7080C"/>
    <w:rsid w:val="00E708E1"/>
    <w:rsid w:val="00E71BBE"/>
    <w:rsid w:val="00E72F3D"/>
    <w:rsid w:val="00E7348A"/>
    <w:rsid w:val="00E738B0"/>
    <w:rsid w:val="00E84D2D"/>
    <w:rsid w:val="00E85414"/>
    <w:rsid w:val="00E85477"/>
    <w:rsid w:val="00E87062"/>
    <w:rsid w:val="00E967B3"/>
    <w:rsid w:val="00E9694B"/>
    <w:rsid w:val="00EA171A"/>
    <w:rsid w:val="00EA579A"/>
    <w:rsid w:val="00EA6B9B"/>
    <w:rsid w:val="00EA7FE2"/>
    <w:rsid w:val="00EB12E9"/>
    <w:rsid w:val="00EB6ABE"/>
    <w:rsid w:val="00EC5D46"/>
    <w:rsid w:val="00ED400E"/>
    <w:rsid w:val="00ED67AA"/>
    <w:rsid w:val="00EE151E"/>
    <w:rsid w:val="00EE4D1E"/>
    <w:rsid w:val="00EE63D4"/>
    <w:rsid w:val="00EF2B35"/>
    <w:rsid w:val="00EF3489"/>
    <w:rsid w:val="00EF7B3D"/>
    <w:rsid w:val="00F01E25"/>
    <w:rsid w:val="00F034EA"/>
    <w:rsid w:val="00F05B2A"/>
    <w:rsid w:val="00F06807"/>
    <w:rsid w:val="00F125B1"/>
    <w:rsid w:val="00F130FB"/>
    <w:rsid w:val="00F137B6"/>
    <w:rsid w:val="00F13A7D"/>
    <w:rsid w:val="00F2105F"/>
    <w:rsid w:val="00F26625"/>
    <w:rsid w:val="00F27633"/>
    <w:rsid w:val="00F32C9C"/>
    <w:rsid w:val="00F34FA5"/>
    <w:rsid w:val="00F36299"/>
    <w:rsid w:val="00F3788A"/>
    <w:rsid w:val="00F40C6E"/>
    <w:rsid w:val="00F42E63"/>
    <w:rsid w:val="00F46B71"/>
    <w:rsid w:val="00F47695"/>
    <w:rsid w:val="00F47F87"/>
    <w:rsid w:val="00F51CA4"/>
    <w:rsid w:val="00F544BA"/>
    <w:rsid w:val="00F55C8D"/>
    <w:rsid w:val="00F5634D"/>
    <w:rsid w:val="00F63CFE"/>
    <w:rsid w:val="00F641B2"/>
    <w:rsid w:val="00F706FC"/>
    <w:rsid w:val="00F72C12"/>
    <w:rsid w:val="00F832F3"/>
    <w:rsid w:val="00F91F63"/>
    <w:rsid w:val="00F97F63"/>
    <w:rsid w:val="00FA691B"/>
    <w:rsid w:val="00FA72E2"/>
    <w:rsid w:val="00FB05EE"/>
    <w:rsid w:val="00FB0D66"/>
    <w:rsid w:val="00FB158B"/>
    <w:rsid w:val="00FB1DAE"/>
    <w:rsid w:val="00FB2C96"/>
    <w:rsid w:val="00FB59FA"/>
    <w:rsid w:val="00FC17AE"/>
    <w:rsid w:val="00FC2AFC"/>
    <w:rsid w:val="00FC6898"/>
    <w:rsid w:val="00FC6F52"/>
    <w:rsid w:val="00FD306A"/>
    <w:rsid w:val="00FD5140"/>
    <w:rsid w:val="00FE048D"/>
    <w:rsid w:val="00FE3327"/>
    <w:rsid w:val="00FF1943"/>
    <w:rsid w:val="00FF2606"/>
    <w:rsid w:val="00FF2EB5"/>
    <w:rsid w:val="00FF343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DC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593C"/>
    <w:pPr>
      <w:spacing w:line="240" w:lineRule="auto"/>
      <w:jc w:val="left"/>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373FB3"/>
    <w:pPr>
      <w:keepNext/>
      <w:keepLines/>
      <w:numPr>
        <w:numId w:val="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21CF"/>
    <w:pPr>
      <w:keepNext/>
      <w:keepLines/>
      <w:numPr>
        <w:ilvl w:val="1"/>
        <w:numId w:val="6"/>
      </w:numPr>
      <w:spacing w:before="200"/>
      <w:ind w:left="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3FB3"/>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3777B"/>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3777B"/>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77B"/>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777B"/>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777B"/>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777B"/>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373FB3"/>
  </w:style>
  <w:style w:type="character" w:customStyle="1" w:styleId="personname">
    <w:name w:val="person_name"/>
    <w:basedOn w:val="DefaultParagraphFont"/>
    <w:rsid w:val="00373FB3"/>
  </w:style>
  <w:style w:type="paragraph" w:styleId="BalloonText">
    <w:name w:val="Balloon Text"/>
    <w:basedOn w:val="Normal"/>
    <w:link w:val="BalloonTextChar"/>
    <w:uiPriority w:val="99"/>
    <w:semiHidden/>
    <w:unhideWhenUsed/>
    <w:rsid w:val="00373FB3"/>
    <w:rPr>
      <w:rFonts w:ascii="Tahoma" w:hAnsi="Tahoma" w:cs="Tahoma"/>
      <w:sz w:val="16"/>
      <w:szCs w:val="16"/>
    </w:rPr>
  </w:style>
  <w:style w:type="character" w:customStyle="1" w:styleId="BalloonTextChar">
    <w:name w:val="Balloon Text Char"/>
    <w:basedOn w:val="DefaultParagraphFont"/>
    <w:link w:val="BalloonText"/>
    <w:uiPriority w:val="99"/>
    <w:semiHidden/>
    <w:rsid w:val="00373FB3"/>
    <w:rPr>
      <w:rFonts w:ascii="Tahoma" w:hAnsi="Tahoma" w:cs="Tahoma"/>
      <w:sz w:val="16"/>
      <w:szCs w:val="16"/>
    </w:rPr>
  </w:style>
  <w:style w:type="paragraph" w:styleId="ListParagraph">
    <w:name w:val="List Paragraph"/>
    <w:basedOn w:val="Normal"/>
    <w:uiPriority w:val="34"/>
    <w:qFormat/>
    <w:rsid w:val="00373FB3"/>
    <w:pPr>
      <w:ind w:left="720"/>
      <w:contextualSpacing/>
    </w:pPr>
  </w:style>
  <w:style w:type="character" w:customStyle="1" w:styleId="Heading1Char">
    <w:name w:val="Heading 1 Char"/>
    <w:basedOn w:val="DefaultParagraphFont"/>
    <w:link w:val="Heading1"/>
    <w:uiPriority w:val="9"/>
    <w:rsid w:val="00373F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2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3FB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2D8B"/>
    <w:rPr>
      <w:sz w:val="16"/>
      <w:szCs w:val="16"/>
    </w:rPr>
  </w:style>
  <w:style w:type="paragraph" w:styleId="CommentText">
    <w:name w:val="annotation text"/>
    <w:basedOn w:val="Normal"/>
    <w:link w:val="CommentTextChar"/>
    <w:uiPriority w:val="99"/>
    <w:semiHidden/>
    <w:unhideWhenUsed/>
    <w:rsid w:val="00612D8B"/>
    <w:pPr>
      <w:widowControl w:val="0"/>
      <w:autoSpaceDE w:val="0"/>
      <w:autoSpaceDN w:val="0"/>
    </w:pPr>
    <w:rPr>
      <w:sz w:val="20"/>
      <w:szCs w:val="20"/>
      <w:lang w:val="en-US"/>
    </w:rPr>
  </w:style>
  <w:style w:type="character" w:customStyle="1" w:styleId="CommentTextChar">
    <w:name w:val="Comment Text Char"/>
    <w:basedOn w:val="DefaultParagraphFont"/>
    <w:link w:val="CommentText"/>
    <w:uiPriority w:val="99"/>
    <w:semiHidden/>
    <w:rsid w:val="00612D8B"/>
    <w:rPr>
      <w:rFonts w:ascii="Times New Roman" w:eastAsia="Times New Roman" w:hAnsi="Times New Roman" w:cs="Times New Roman"/>
      <w:sz w:val="20"/>
      <w:szCs w:val="20"/>
      <w:lang w:val="en-US"/>
    </w:rPr>
  </w:style>
  <w:style w:type="table" w:styleId="TableGrid">
    <w:name w:val="Table Grid"/>
    <w:basedOn w:val="TableNormal"/>
    <w:uiPriority w:val="59"/>
    <w:rsid w:val="00D544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377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377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377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377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377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777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54273"/>
    <w:pPr>
      <w:tabs>
        <w:tab w:val="center" w:pos="4819"/>
        <w:tab w:val="right" w:pos="9638"/>
      </w:tabs>
    </w:pPr>
  </w:style>
  <w:style w:type="character" w:customStyle="1" w:styleId="HeaderChar">
    <w:name w:val="Header Char"/>
    <w:basedOn w:val="DefaultParagraphFont"/>
    <w:link w:val="Header"/>
    <w:uiPriority w:val="99"/>
    <w:rsid w:val="00554273"/>
  </w:style>
  <w:style w:type="paragraph" w:styleId="Footer">
    <w:name w:val="footer"/>
    <w:basedOn w:val="Normal"/>
    <w:link w:val="FooterChar"/>
    <w:uiPriority w:val="99"/>
    <w:unhideWhenUsed/>
    <w:rsid w:val="00554273"/>
    <w:pPr>
      <w:tabs>
        <w:tab w:val="center" w:pos="4819"/>
        <w:tab w:val="right" w:pos="9638"/>
      </w:tabs>
    </w:pPr>
  </w:style>
  <w:style w:type="character" w:customStyle="1" w:styleId="FooterChar">
    <w:name w:val="Footer Char"/>
    <w:basedOn w:val="DefaultParagraphFont"/>
    <w:link w:val="Footer"/>
    <w:uiPriority w:val="99"/>
    <w:rsid w:val="00554273"/>
  </w:style>
  <w:style w:type="paragraph" w:styleId="CommentSubject">
    <w:name w:val="annotation subject"/>
    <w:basedOn w:val="CommentText"/>
    <w:next w:val="CommentText"/>
    <w:link w:val="CommentSubjectChar"/>
    <w:uiPriority w:val="99"/>
    <w:semiHidden/>
    <w:unhideWhenUsed/>
    <w:rsid w:val="002E214D"/>
    <w:pPr>
      <w:widowControl/>
      <w:autoSpaceDE/>
      <w:autoSpaceDN/>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E214D"/>
    <w:rPr>
      <w:rFonts w:ascii="Times New Roman" w:eastAsia="Times New Roman" w:hAnsi="Times New Roman" w:cs="Times New Roman"/>
      <w:b/>
      <w:bCs/>
      <w:sz w:val="20"/>
      <w:szCs w:val="20"/>
      <w:lang w:val="en-US"/>
    </w:rPr>
  </w:style>
  <w:style w:type="paragraph" w:styleId="Revision">
    <w:name w:val="Revision"/>
    <w:hidden/>
    <w:uiPriority w:val="99"/>
    <w:semiHidden/>
    <w:rsid w:val="00B512EE"/>
    <w:pPr>
      <w:spacing w:line="240" w:lineRule="auto"/>
    </w:pPr>
  </w:style>
  <w:style w:type="paragraph" w:styleId="TOCHeading">
    <w:name w:val="TOC Heading"/>
    <w:basedOn w:val="Heading1"/>
    <w:next w:val="Normal"/>
    <w:uiPriority w:val="39"/>
    <w:unhideWhenUsed/>
    <w:qFormat/>
    <w:rsid w:val="00A932A5"/>
    <w:pPr>
      <w:numPr>
        <w:numId w:val="0"/>
      </w:numPr>
      <w:spacing w:before="240" w:line="259" w:lineRule="auto"/>
      <w:outlineLvl w:val="9"/>
    </w:pPr>
    <w:rPr>
      <w:b w:val="0"/>
      <w:bCs w:val="0"/>
      <w:sz w:val="32"/>
      <w:szCs w:val="32"/>
      <w:lang w:val="it-IT" w:eastAsia="it-IT"/>
    </w:rPr>
  </w:style>
  <w:style w:type="paragraph" w:styleId="TOC1">
    <w:name w:val="toc 1"/>
    <w:basedOn w:val="Normal"/>
    <w:next w:val="Normal"/>
    <w:autoRedefine/>
    <w:uiPriority w:val="39"/>
    <w:unhideWhenUsed/>
    <w:rsid w:val="00A932A5"/>
    <w:pPr>
      <w:tabs>
        <w:tab w:val="left" w:pos="440"/>
        <w:tab w:val="right" w:leader="dot" w:pos="9628"/>
      </w:tabs>
      <w:spacing w:after="100"/>
    </w:pPr>
  </w:style>
  <w:style w:type="paragraph" w:styleId="TOC2">
    <w:name w:val="toc 2"/>
    <w:basedOn w:val="Normal"/>
    <w:next w:val="Normal"/>
    <w:autoRedefine/>
    <w:uiPriority w:val="39"/>
    <w:unhideWhenUsed/>
    <w:rsid w:val="00A932A5"/>
    <w:pPr>
      <w:spacing w:after="100"/>
      <w:ind w:left="220"/>
    </w:pPr>
  </w:style>
  <w:style w:type="paragraph" w:styleId="TOC3">
    <w:name w:val="toc 3"/>
    <w:basedOn w:val="Normal"/>
    <w:next w:val="Normal"/>
    <w:autoRedefine/>
    <w:uiPriority w:val="39"/>
    <w:unhideWhenUsed/>
    <w:rsid w:val="00A932A5"/>
    <w:pPr>
      <w:spacing w:after="100"/>
      <w:ind w:left="440"/>
    </w:pPr>
  </w:style>
  <w:style w:type="character" w:styleId="Hyperlink">
    <w:name w:val="Hyperlink"/>
    <w:basedOn w:val="DefaultParagraphFont"/>
    <w:uiPriority w:val="99"/>
    <w:unhideWhenUsed/>
    <w:rsid w:val="00A932A5"/>
    <w:rPr>
      <w:color w:val="0000FF" w:themeColor="hyperlink"/>
      <w:u w:val="single"/>
    </w:rPr>
  </w:style>
  <w:style w:type="character" w:styleId="PageNumber">
    <w:name w:val="page number"/>
    <w:basedOn w:val="DefaultParagraphFont"/>
    <w:uiPriority w:val="99"/>
    <w:semiHidden/>
    <w:unhideWhenUsed/>
    <w:rsid w:val="00560BEB"/>
  </w:style>
  <w:style w:type="paragraph" w:styleId="BodyTextIndent">
    <w:name w:val="Body Text Indent"/>
    <w:basedOn w:val="Normal"/>
    <w:link w:val="BodyTextIndentChar"/>
    <w:rsid w:val="00E21C87"/>
    <w:pPr>
      <w:spacing w:line="360" w:lineRule="auto"/>
      <w:ind w:firstLine="720"/>
    </w:pPr>
    <w:rPr>
      <w:rFonts w:eastAsia="Times"/>
      <w:noProof/>
      <w:szCs w:val="20"/>
      <w:lang w:eastAsia="en-GB"/>
    </w:rPr>
  </w:style>
  <w:style w:type="character" w:customStyle="1" w:styleId="BodyTextIndentChar">
    <w:name w:val="Body Text Indent Char"/>
    <w:basedOn w:val="DefaultParagraphFont"/>
    <w:link w:val="BodyTextIndent"/>
    <w:rsid w:val="00E21C87"/>
    <w:rPr>
      <w:rFonts w:ascii="Times New Roman" w:eastAsia="Times" w:hAnsi="Times New Roman" w:cs="Times New Roman"/>
      <w:noProof/>
      <w:sz w:val="24"/>
      <w:szCs w:val="20"/>
      <w:lang w:eastAsia="en-GB"/>
    </w:rPr>
  </w:style>
  <w:style w:type="paragraph" w:styleId="NormalWeb">
    <w:name w:val="Normal (Web)"/>
    <w:basedOn w:val="Normal"/>
    <w:uiPriority w:val="99"/>
    <w:semiHidden/>
    <w:unhideWhenUsed/>
    <w:rsid w:val="00FF2606"/>
    <w:pPr>
      <w:spacing w:before="100" w:beforeAutospacing="1" w:after="100" w:afterAutospacing="1"/>
    </w:pPr>
  </w:style>
  <w:style w:type="character" w:customStyle="1" w:styleId="js-separator">
    <w:name w:val="js-separator"/>
    <w:basedOn w:val="DefaultParagraphFont"/>
    <w:rsid w:val="003C47A9"/>
  </w:style>
  <w:style w:type="character" w:styleId="HTMLCite">
    <w:name w:val="HTML Cite"/>
    <w:basedOn w:val="DefaultParagraphFont"/>
    <w:uiPriority w:val="99"/>
    <w:semiHidden/>
    <w:unhideWhenUsed/>
    <w:rsid w:val="003C47A9"/>
    <w:rPr>
      <w:i/>
      <w:iCs/>
    </w:rPr>
  </w:style>
  <w:style w:type="character" w:customStyle="1" w:styleId="UnresolvedMention">
    <w:name w:val="Unresolved Mention"/>
    <w:basedOn w:val="DefaultParagraphFont"/>
    <w:uiPriority w:val="99"/>
    <w:rsid w:val="002A2CC6"/>
    <w:rPr>
      <w:color w:val="605E5C"/>
      <w:shd w:val="clear" w:color="auto" w:fill="E1DFDD"/>
    </w:rPr>
  </w:style>
  <w:style w:type="character" w:customStyle="1" w:styleId="author">
    <w:name w:val="author"/>
    <w:basedOn w:val="DefaultParagraphFont"/>
    <w:rsid w:val="00857B46"/>
  </w:style>
  <w:style w:type="character" w:customStyle="1" w:styleId="italic">
    <w:name w:val="italic"/>
    <w:basedOn w:val="DefaultParagraphFont"/>
    <w:rsid w:val="00D00A83"/>
  </w:style>
  <w:style w:type="paragraph" w:customStyle="1" w:styleId="Default">
    <w:name w:val="Default"/>
    <w:rsid w:val="00817A9D"/>
    <w:pPr>
      <w:autoSpaceDE w:val="0"/>
      <w:autoSpaceDN w:val="0"/>
      <w:adjustRightInd w:val="0"/>
      <w:spacing w:line="240" w:lineRule="auto"/>
      <w:jc w:val="left"/>
    </w:pPr>
    <w:rPr>
      <w:rFonts w:ascii="Roboto" w:eastAsiaTheme="minorEastAsia" w:hAnsi="Roboto" w:cs="Roboto"/>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07828">
      <w:bodyDiv w:val="1"/>
      <w:marLeft w:val="0"/>
      <w:marRight w:val="0"/>
      <w:marTop w:val="0"/>
      <w:marBottom w:val="0"/>
      <w:divBdr>
        <w:top w:val="none" w:sz="0" w:space="0" w:color="auto"/>
        <w:left w:val="none" w:sz="0" w:space="0" w:color="auto"/>
        <w:bottom w:val="none" w:sz="0" w:space="0" w:color="auto"/>
        <w:right w:val="none" w:sz="0" w:space="0" w:color="auto"/>
      </w:divBdr>
    </w:div>
    <w:div w:id="348876437">
      <w:bodyDiv w:val="1"/>
      <w:marLeft w:val="0"/>
      <w:marRight w:val="0"/>
      <w:marTop w:val="0"/>
      <w:marBottom w:val="0"/>
      <w:divBdr>
        <w:top w:val="none" w:sz="0" w:space="0" w:color="auto"/>
        <w:left w:val="none" w:sz="0" w:space="0" w:color="auto"/>
        <w:bottom w:val="none" w:sz="0" w:space="0" w:color="auto"/>
        <w:right w:val="none" w:sz="0" w:space="0" w:color="auto"/>
      </w:divBdr>
    </w:div>
    <w:div w:id="414522851">
      <w:bodyDiv w:val="1"/>
      <w:marLeft w:val="0"/>
      <w:marRight w:val="0"/>
      <w:marTop w:val="0"/>
      <w:marBottom w:val="0"/>
      <w:divBdr>
        <w:top w:val="none" w:sz="0" w:space="0" w:color="auto"/>
        <w:left w:val="none" w:sz="0" w:space="0" w:color="auto"/>
        <w:bottom w:val="none" w:sz="0" w:space="0" w:color="auto"/>
        <w:right w:val="none" w:sz="0" w:space="0" w:color="auto"/>
      </w:divBdr>
    </w:div>
    <w:div w:id="707072973">
      <w:bodyDiv w:val="1"/>
      <w:marLeft w:val="0"/>
      <w:marRight w:val="0"/>
      <w:marTop w:val="0"/>
      <w:marBottom w:val="0"/>
      <w:divBdr>
        <w:top w:val="none" w:sz="0" w:space="0" w:color="auto"/>
        <w:left w:val="none" w:sz="0" w:space="0" w:color="auto"/>
        <w:bottom w:val="none" w:sz="0" w:space="0" w:color="auto"/>
        <w:right w:val="none" w:sz="0" w:space="0" w:color="auto"/>
      </w:divBdr>
    </w:div>
    <w:div w:id="841429862">
      <w:bodyDiv w:val="1"/>
      <w:marLeft w:val="0"/>
      <w:marRight w:val="0"/>
      <w:marTop w:val="0"/>
      <w:marBottom w:val="0"/>
      <w:divBdr>
        <w:top w:val="none" w:sz="0" w:space="0" w:color="auto"/>
        <w:left w:val="none" w:sz="0" w:space="0" w:color="auto"/>
        <w:bottom w:val="none" w:sz="0" w:space="0" w:color="auto"/>
        <w:right w:val="none" w:sz="0" w:space="0" w:color="auto"/>
      </w:divBdr>
    </w:div>
    <w:div w:id="943733929">
      <w:bodyDiv w:val="1"/>
      <w:marLeft w:val="0"/>
      <w:marRight w:val="0"/>
      <w:marTop w:val="0"/>
      <w:marBottom w:val="0"/>
      <w:divBdr>
        <w:top w:val="none" w:sz="0" w:space="0" w:color="auto"/>
        <w:left w:val="none" w:sz="0" w:space="0" w:color="auto"/>
        <w:bottom w:val="none" w:sz="0" w:space="0" w:color="auto"/>
        <w:right w:val="none" w:sz="0" w:space="0" w:color="auto"/>
      </w:divBdr>
    </w:div>
    <w:div w:id="1017777097">
      <w:bodyDiv w:val="1"/>
      <w:marLeft w:val="0"/>
      <w:marRight w:val="0"/>
      <w:marTop w:val="0"/>
      <w:marBottom w:val="0"/>
      <w:divBdr>
        <w:top w:val="none" w:sz="0" w:space="0" w:color="auto"/>
        <w:left w:val="none" w:sz="0" w:space="0" w:color="auto"/>
        <w:bottom w:val="none" w:sz="0" w:space="0" w:color="auto"/>
        <w:right w:val="none" w:sz="0" w:space="0" w:color="auto"/>
      </w:divBdr>
    </w:div>
    <w:div w:id="1313097038">
      <w:bodyDiv w:val="1"/>
      <w:marLeft w:val="0"/>
      <w:marRight w:val="0"/>
      <w:marTop w:val="0"/>
      <w:marBottom w:val="0"/>
      <w:divBdr>
        <w:top w:val="none" w:sz="0" w:space="0" w:color="auto"/>
        <w:left w:val="none" w:sz="0" w:space="0" w:color="auto"/>
        <w:bottom w:val="none" w:sz="0" w:space="0" w:color="auto"/>
        <w:right w:val="none" w:sz="0" w:space="0" w:color="auto"/>
      </w:divBdr>
    </w:div>
    <w:div w:id="1552810424">
      <w:bodyDiv w:val="1"/>
      <w:marLeft w:val="0"/>
      <w:marRight w:val="0"/>
      <w:marTop w:val="0"/>
      <w:marBottom w:val="0"/>
      <w:divBdr>
        <w:top w:val="none" w:sz="0" w:space="0" w:color="auto"/>
        <w:left w:val="none" w:sz="0" w:space="0" w:color="auto"/>
        <w:bottom w:val="none" w:sz="0" w:space="0" w:color="auto"/>
        <w:right w:val="none" w:sz="0" w:space="0" w:color="auto"/>
      </w:divBdr>
    </w:div>
    <w:div w:id="1570458926">
      <w:bodyDiv w:val="1"/>
      <w:marLeft w:val="0"/>
      <w:marRight w:val="0"/>
      <w:marTop w:val="0"/>
      <w:marBottom w:val="0"/>
      <w:divBdr>
        <w:top w:val="none" w:sz="0" w:space="0" w:color="auto"/>
        <w:left w:val="none" w:sz="0" w:space="0" w:color="auto"/>
        <w:bottom w:val="none" w:sz="0" w:space="0" w:color="auto"/>
        <w:right w:val="none" w:sz="0" w:space="0" w:color="auto"/>
      </w:divBdr>
    </w:div>
    <w:div w:id="1721057716">
      <w:bodyDiv w:val="1"/>
      <w:marLeft w:val="0"/>
      <w:marRight w:val="0"/>
      <w:marTop w:val="0"/>
      <w:marBottom w:val="0"/>
      <w:divBdr>
        <w:top w:val="none" w:sz="0" w:space="0" w:color="auto"/>
        <w:left w:val="none" w:sz="0" w:space="0" w:color="auto"/>
        <w:bottom w:val="none" w:sz="0" w:space="0" w:color="auto"/>
        <w:right w:val="none" w:sz="0" w:space="0" w:color="auto"/>
      </w:divBdr>
    </w:div>
    <w:div w:id="1739011186">
      <w:bodyDiv w:val="1"/>
      <w:marLeft w:val="0"/>
      <w:marRight w:val="0"/>
      <w:marTop w:val="0"/>
      <w:marBottom w:val="0"/>
      <w:divBdr>
        <w:top w:val="none" w:sz="0" w:space="0" w:color="auto"/>
        <w:left w:val="none" w:sz="0" w:space="0" w:color="auto"/>
        <w:bottom w:val="none" w:sz="0" w:space="0" w:color="auto"/>
        <w:right w:val="none" w:sz="0" w:space="0" w:color="auto"/>
      </w:divBdr>
    </w:div>
    <w:div w:id="21013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jpeg"/><Relationship Id="rId24" Type="http://schemas.openxmlformats.org/officeDocument/2006/relationships/image" Target="media/image17.png"/><Relationship Id="rId25" Type="http://schemas.openxmlformats.org/officeDocument/2006/relationships/image" Target="media/image18.jpeg"/><Relationship Id="rId26" Type="http://schemas.openxmlformats.org/officeDocument/2006/relationships/hyperlink" Target="http://arxiv.org/abs/1301.5572" TargetMode="External"/><Relationship Id="rId27" Type="http://schemas.openxmlformats.org/officeDocument/2006/relationships/hyperlink" Target="https://doi.org/10.2172/304511" TargetMode="External"/><Relationship Id="rId28" Type="http://schemas.openxmlformats.org/officeDocument/2006/relationships/footer" Target="footer1.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png"/><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5CE6C4-B840-AA4B-891C-34E13907B5B7}">
  <we:reference id="wa104381909" version="2.4.0.0" store="en-001" storeType="OMEX"/>
  <we:alternateReferences>
    <we:reference id="wa104381909" version="2.4.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C3B0F-B751-8C4F-B440-4B922E34C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24</Pages>
  <Words>8469</Words>
  <Characters>48274</Characters>
  <Application>Microsoft Macintosh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ENEA CR</Company>
  <LinksUpToDate>false</LinksUpToDate>
  <CharactersWithSpaces>56630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Ninno A</dc:creator>
  <cp:lastModifiedBy>Microsoft Office User</cp:lastModifiedBy>
  <cp:revision>91</cp:revision>
  <cp:lastPrinted>2023-01-10T18:25:00Z</cp:lastPrinted>
  <dcterms:created xsi:type="dcterms:W3CDTF">2022-10-04T14:49:00Z</dcterms:created>
  <dcterms:modified xsi:type="dcterms:W3CDTF">2023-02-10T11:44:00Z</dcterms:modified>
</cp:coreProperties>
</file>