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87F5B2" w14:textId="3A58770B" w:rsidR="00BD1FEE" w:rsidRPr="00034CB0" w:rsidRDefault="00BD1FEE" w:rsidP="00BD1FEE">
      <w:pPr>
        <w:jc w:val="center"/>
        <w:rPr>
          <w:b/>
          <w:bCs/>
        </w:rPr>
      </w:pPr>
      <w:r w:rsidRPr="00034CB0">
        <w:rPr>
          <w:b/>
          <w:bCs/>
        </w:rPr>
        <w:t>PROGETTO PROTO-SPHERA</w:t>
      </w:r>
    </w:p>
    <w:p w14:paraId="0DA13316" w14:textId="00CFE1DD" w:rsidR="0094690E" w:rsidRPr="00034CB0" w:rsidRDefault="00BD1FEE" w:rsidP="00BD1FEE">
      <w:pPr>
        <w:jc w:val="center"/>
        <w:rPr>
          <w:b/>
          <w:bCs/>
        </w:rPr>
      </w:pPr>
      <w:r w:rsidRPr="00034CB0">
        <w:rPr>
          <w:b/>
          <w:bCs/>
        </w:rPr>
        <w:t>RICHIESTA FINANZIAMENTO BILANCIO 2022</w:t>
      </w:r>
    </w:p>
    <w:p w14:paraId="7E64D7DE" w14:textId="696FA8E5" w:rsidR="00BD1FEE" w:rsidRPr="00601FE2" w:rsidRDefault="00601FE2" w:rsidP="00601FE2">
      <w:pPr>
        <w:jc w:val="center"/>
        <w:rPr>
          <w:i/>
          <w:iCs/>
        </w:rPr>
      </w:pPr>
      <w:r w:rsidRPr="00601FE2">
        <w:rPr>
          <w:i/>
          <w:iCs/>
        </w:rPr>
        <w:t xml:space="preserve">Revisione </w:t>
      </w:r>
      <w:r w:rsidR="00CC5EF5">
        <w:rPr>
          <w:i/>
          <w:iCs/>
        </w:rPr>
        <w:t>3</w:t>
      </w:r>
      <w:r w:rsidRPr="00601FE2">
        <w:rPr>
          <w:i/>
          <w:iCs/>
        </w:rPr>
        <w:t>.0 del 0</w:t>
      </w:r>
      <w:r w:rsidR="00CC5EF5">
        <w:rPr>
          <w:i/>
          <w:iCs/>
        </w:rPr>
        <w:t>2</w:t>
      </w:r>
      <w:r w:rsidRPr="00601FE2">
        <w:rPr>
          <w:i/>
          <w:iCs/>
        </w:rPr>
        <w:t>/0</w:t>
      </w:r>
      <w:r w:rsidR="00CC5EF5">
        <w:rPr>
          <w:i/>
          <w:iCs/>
        </w:rPr>
        <w:t>3</w:t>
      </w:r>
      <w:r w:rsidRPr="00601FE2">
        <w:rPr>
          <w:i/>
          <w:iCs/>
        </w:rPr>
        <w:t>/2022.</w:t>
      </w:r>
    </w:p>
    <w:p w14:paraId="1A47835B" w14:textId="77777777" w:rsidR="00601FE2" w:rsidRDefault="00601FE2"/>
    <w:p w14:paraId="7229FDDF" w14:textId="1BFB0C59" w:rsidR="00BD1FEE" w:rsidRDefault="00BD1FEE">
      <w:r w:rsidRPr="00034CB0">
        <w:rPr>
          <w:b/>
          <w:bCs/>
        </w:rPr>
        <w:t>Autor</w:t>
      </w:r>
      <w:r w:rsidR="00034CB0">
        <w:rPr>
          <w:b/>
          <w:bCs/>
        </w:rPr>
        <w:t>i</w:t>
      </w:r>
      <w:r>
        <w:t xml:space="preserve">: </w:t>
      </w:r>
      <w:r w:rsidR="00DD406C">
        <w:t xml:space="preserve">Paolo Micozzi, Franco Alladio, </w:t>
      </w:r>
      <w:r>
        <w:t>Simone Mannori</w:t>
      </w:r>
      <w:r w:rsidR="00034CB0">
        <w:t>, Antonella De Ninno, Bernardo Raspante.</w:t>
      </w:r>
    </w:p>
    <w:p w14:paraId="6058F13B" w14:textId="4F2B3E6C" w:rsidR="00BD1FEE" w:rsidRDefault="00BD1FEE"/>
    <w:p w14:paraId="490694D8" w14:textId="3B961F8C" w:rsidR="00BD1FEE" w:rsidRDefault="005E37BE" w:rsidP="00DD406C">
      <w:pPr>
        <w:jc w:val="both"/>
      </w:pPr>
      <w:r>
        <w:t>A partire dagli an</w:t>
      </w:r>
      <w:r w:rsidR="00834EF6">
        <w:t xml:space="preserve">ni 2000, l’esperimento </w:t>
      </w:r>
      <w:bookmarkStart w:id="0" w:name="_GoBack"/>
      <w:bookmarkEnd w:id="0"/>
      <w:r w:rsidR="00BD1FEE">
        <w:t>PROTO-SPHERA (“Spherical Plasma for HElicity</w:t>
      </w:r>
      <w:r w:rsidR="0091049E">
        <w:t xml:space="preserve"> </w:t>
      </w:r>
      <w:r w:rsidR="00BD1FEE">
        <w:t>Relaxation Assessment”) è stato costruito in una sezione inutilizza dell’edificio F-87, inizialmente adibito a “sala montaggio FTU”</w:t>
      </w:r>
      <w:r w:rsidR="0091049E">
        <w:t xml:space="preserve"> (Frascati Tokamak Upgrade).</w:t>
      </w:r>
    </w:p>
    <w:p w14:paraId="62E2F068" w14:textId="5969C36F" w:rsidR="0091049E" w:rsidRDefault="00BD1FEE" w:rsidP="00DD406C">
      <w:pPr>
        <w:jc w:val="both"/>
      </w:pPr>
      <w:r>
        <w:t xml:space="preserve">Con </w:t>
      </w:r>
      <w:r w:rsidR="00AA48FF">
        <w:t>la chiusura dell’esperimento FTU</w:t>
      </w:r>
      <w:r w:rsidR="0091049E">
        <w:t xml:space="preserve"> e l’avvento del progetto DTT (“Divertor Test Tokamak”) l’edificio F-87 deve essere liberato per </w:t>
      </w:r>
      <w:r w:rsidR="007D5106">
        <w:t xml:space="preserve">supportare le </w:t>
      </w:r>
      <w:r w:rsidR="0091049E">
        <w:t xml:space="preserve">attività relative a DTT. </w:t>
      </w:r>
    </w:p>
    <w:p w14:paraId="3CF02875" w14:textId="76C7F006" w:rsidR="0091049E" w:rsidRDefault="0091049E" w:rsidP="00DD406C">
      <w:pPr>
        <w:jc w:val="both"/>
      </w:pPr>
      <w:r>
        <w:t xml:space="preserve">Vista l’importanza del progetto PROTO-SPHERA (PS), è stato pianificato lo spostamento </w:t>
      </w:r>
      <w:r w:rsidR="00BB47C4">
        <w:t xml:space="preserve">di PS </w:t>
      </w:r>
      <w:r>
        <w:t>all’interno della hall sperimentale dell’edificio F-23, precedentemente utilizzata dall’esperimento FT (Frascati Tokamak) non più operativo dal</w:t>
      </w:r>
      <w:r w:rsidR="00DD406C">
        <w:t xml:space="preserve"> 1988.</w:t>
      </w:r>
      <w:r w:rsidR="00BB47C4">
        <w:t xml:space="preserve"> </w:t>
      </w:r>
      <w:r w:rsidR="00CC5EF5">
        <w:t>Dopo</w:t>
      </w:r>
      <w:r w:rsidR="00BB47C4">
        <w:t xml:space="preserve"> la chiusura di FT, la hall sperimentale ed i locali immediatamente adiacenti utilizzati come sala controllo, laboratori ed uffici non sono stati manutenuti in alcun modo. Questa mancanza di </w:t>
      </w:r>
      <w:r w:rsidR="00CF6F72">
        <w:t>cure</w:t>
      </w:r>
      <w:r w:rsidR="00BB47C4">
        <w:t xml:space="preserve"> (</w:t>
      </w:r>
      <w:r w:rsidR="00DD406C">
        <w:t xml:space="preserve">per un lungo periodo, 34 </w:t>
      </w:r>
      <w:r w:rsidR="00BB47C4">
        <w:t>anni) ha causato un degrado progressivo che ha reso tale struttura completamente inagibile</w:t>
      </w:r>
      <w:r w:rsidR="00DD406C">
        <w:t>: l</w:t>
      </w:r>
      <w:r w:rsidR="00BB47C4">
        <w:t xml:space="preserve">a hall sperimentale è divenuta il rifugio di piccioni ed altri parassiti. </w:t>
      </w:r>
      <w:r w:rsidR="00F364B1">
        <w:t>I locali adiacenti alla hall sono ridotti ancora peggio. Ad esempio, i pavimenti sono pieni di buche</w:t>
      </w:r>
      <w:r w:rsidR="009035A9">
        <w:t xml:space="preserve"> e devono essere interamente rimessi a nuovo.</w:t>
      </w:r>
    </w:p>
    <w:p w14:paraId="19B94633" w14:textId="2E8707A2" w:rsidR="009035A9" w:rsidRDefault="009035A9" w:rsidP="00DD406C">
      <w:pPr>
        <w:jc w:val="both"/>
      </w:pPr>
      <w:r>
        <w:t>Nel periodo novembre 2021-</w:t>
      </w:r>
      <w:r w:rsidR="00CF244D">
        <w:t>f</w:t>
      </w:r>
      <w:r>
        <w:t>ebbraio 2022 sono stati installati i supporti di appoggio di PS, un lavoro pianificato ad agosto 2020, indispensabile per poter installare PS (</w:t>
      </w:r>
      <w:r w:rsidR="00DD406C">
        <w:t xml:space="preserve">del peso di </w:t>
      </w:r>
      <w:r>
        <w:t>12 tonnellate) nella hall sperimentale F-23.</w:t>
      </w:r>
    </w:p>
    <w:p w14:paraId="5AB4F023" w14:textId="5D09CC1F" w:rsidR="00CF244D" w:rsidRDefault="00CF244D" w:rsidP="00DD406C">
      <w:pPr>
        <w:jc w:val="both"/>
      </w:pPr>
      <w:r>
        <w:t>La hall ed i locali adiacenti rimangono comunque inagibili, sia per la mancanza delle più elementari strutture di supporto tecnico (es. impianti elettrici di media e bassa tensione) che per le deprecabili condizioni igienico-sanitarie.</w:t>
      </w:r>
    </w:p>
    <w:p w14:paraId="5BE8A4FD" w14:textId="0DFF4630" w:rsidR="00CF244D" w:rsidRDefault="00CF244D" w:rsidP="00DD406C">
      <w:pPr>
        <w:jc w:val="both"/>
      </w:pPr>
      <w:r>
        <w:t>È quindi imperativo che il trasferimento di PS sia eseguito quando la hall dell’edificio F-23 ed i locali dedicati all’esperimento PS saranno in grado di adempiere a pieno la loro funzione.</w:t>
      </w:r>
    </w:p>
    <w:p w14:paraId="15345889" w14:textId="25C2C2CF" w:rsidR="007D5106" w:rsidRDefault="007D5106" w:rsidP="00DD406C">
      <w:pPr>
        <w:jc w:val="both"/>
      </w:pPr>
      <w:r>
        <w:t>Per raggiungere tale obiettivo</w:t>
      </w:r>
      <w:r w:rsidR="00CF6F72">
        <w:t xml:space="preserve">, sono necessarie molte azioni concrete, in parte a carico di ENEA-Frascati-Centro, in parte ad ENEA-FSN. </w:t>
      </w:r>
    </w:p>
    <w:p w14:paraId="3BB8445C" w14:textId="655C8E46" w:rsidR="00CF6F72" w:rsidRDefault="00CF6F72" w:rsidP="00DD406C">
      <w:pPr>
        <w:jc w:val="both"/>
      </w:pPr>
      <w:r>
        <w:t>Questo documento dettaglia i lavori, la tempistica ed il preventivo di spesa relativo alle attività a carico di FSN. Per chiarezza, vengono riportate anche le attività a carico del Centro</w:t>
      </w:r>
      <w:r w:rsidR="00A5688A">
        <w:t>.</w:t>
      </w:r>
    </w:p>
    <w:p w14:paraId="0751D272" w14:textId="77777777" w:rsidR="00A5688A" w:rsidRDefault="00A5688A" w:rsidP="00DD406C">
      <w:pPr>
        <w:jc w:val="both"/>
      </w:pPr>
    </w:p>
    <w:p w14:paraId="2ACB08FE" w14:textId="7001922E" w:rsidR="00A5688A" w:rsidRPr="00437B3E" w:rsidRDefault="00A5688A" w:rsidP="00DD406C">
      <w:pPr>
        <w:jc w:val="both"/>
        <w:rPr>
          <w:b/>
          <w:bCs/>
        </w:rPr>
      </w:pPr>
      <w:r w:rsidRPr="00437B3E">
        <w:rPr>
          <w:b/>
          <w:bCs/>
        </w:rPr>
        <w:t>IMPORTANZA DEL PROGETTO PROTO-SPHERA</w:t>
      </w:r>
    </w:p>
    <w:p w14:paraId="74F716FE" w14:textId="77777777" w:rsidR="00875D61" w:rsidRDefault="00A5688A" w:rsidP="00DD406C">
      <w:pPr>
        <w:jc w:val="both"/>
      </w:pPr>
      <w:r>
        <w:t xml:space="preserve">Esperimenti complessi come DTT e ITER hanno davanti a sé ancora molti anni (almeno 10) prima di divenire realmente operativi, per essere pronti per una vera attività di ricerca scientifica. Durante questo periodo è opportuno che siano disponibili “muletti” (macchine d’accompagnamento) in grado di </w:t>
      </w:r>
      <w:r w:rsidR="00F343C5">
        <w:t>formare i giovani ricercatori.</w:t>
      </w:r>
    </w:p>
    <w:p w14:paraId="3A5046D4" w14:textId="5BB9A5C4" w:rsidR="00875D61" w:rsidRDefault="00875D61" w:rsidP="00DD406C">
      <w:pPr>
        <w:jc w:val="both"/>
      </w:pPr>
      <w:r>
        <w:t>A questo scopo, FSN ha già previsto il supporto economico (assegni do ricerca) per giovani laureati.</w:t>
      </w:r>
    </w:p>
    <w:p w14:paraId="1B6C8E7E" w14:textId="7C193F8B" w:rsidR="00875D61" w:rsidRDefault="00F343C5" w:rsidP="00DD406C">
      <w:pPr>
        <w:jc w:val="both"/>
      </w:pPr>
      <w:r>
        <w:lastRenderedPageBreak/>
        <w:t>I muletti sono inoltre molto utili per lo sviluppo delle apparecchiature di supporto alla sperimentazione come i sistemi di controllo ed acquisizione dati (CODAS-DACS) e le diagnostiche. Infatti, p</w:t>
      </w:r>
      <w:r w:rsidR="00A5688A">
        <w:t>ur con le sue peculiarità, PS è pur sempre un esperimento progettato e costruito per studiare la fusione termonucleare controllata</w:t>
      </w:r>
      <w:r>
        <w:t>, un esperimento dove è possibile studiare plasmi ionizzati confinati magneticamente.</w:t>
      </w:r>
    </w:p>
    <w:p w14:paraId="1CA1FF85" w14:textId="0A13FC85" w:rsidR="00F343C5" w:rsidRDefault="00F343C5" w:rsidP="00DD406C">
      <w:pPr>
        <w:jc w:val="both"/>
      </w:pPr>
      <w:r>
        <w:t xml:space="preserve">Oltre all’interesse diretto di ENEA e della comunità della fusione nucleare in generale, esistono altri </w:t>
      </w:r>
      <w:r w:rsidR="00E926FC">
        <w:t>“stakeholders” interessati – a vario titolo – alle attività di ricerca condotte su PS.</w:t>
      </w:r>
    </w:p>
    <w:p w14:paraId="0D5A833C" w14:textId="111483CC" w:rsidR="00E926FC" w:rsidRDefault="00E926FC" w:rsidP="0003072C">
      <w:pPr>
        <w:pStyle w:val="ListParagraph"/>
        <w:jc w:val="both"/>
      </w:pPr>
    </w:p>
    <w:p w14:paraId="7AA95C8A" w14:textId="7CD1D484" w:rsidR="00E926FC" w:rsidRDefault="00E926FC" w:rsidP="00DD406C">
      <w:pPr>
        <w:pStyle w:val="ListParagraph"/>
        <w:numPr>
          <w:ilvl w:val="0"/>
          <w:numId w:val="1"/>
        </w:numPr>
        <w:jc w:val="both"/>
      </w:pPr>
      <w:r>
        <w:t xml:space="preserve">INAF. La fusione nucleare è il meccanismo fisico principale di generazione di energia all’interno delle stelle: l’Istituto Nazionale di Astro Fisica ( </w:t>
      </w:r>
      <w:hyperlink r:id="rId7" w:history="1">
        <w:r w:rsidRPr="005759CB">
          <w:rPr>
            <w:rStyle w:val="Hyperlink"/>
          </w:rPr>
          <w:t>http://www.inaf.it</w:t>
        </w:r>
      </w:hyperlink>
      <w:r>
        <w:t xml:space="preserve"> ) già collabora con il gruppo di ricerca di PS fin dal 2018 (verificare). Molti dei ricercatori ENEA</w:t>
      </w:r>
      <w:r w:rsidR="00A8015F">
        <w:t>-PS sono associati ad INAF. In particolare, INAF è interessato ad usare PS come apparecchiatura sperimentale per lo studio delle riconnessioni magnetiche, un fenomeno ancora poco compreso ma fondamentale per capire il funzionamento di stelle come il Sole. La lettera d’interessi allegata</w:t>
      </w:r>
      <w:r w:rsidR="00D661DC">
        <w:t xml:space="preserve">, a firma del </w:t>
      </w:r>
      <w:r w:rsidR="00DD406C">
        <w:t xml:space="preserve">Presidente Prof. </w:t>
      </w:r>
      <w:r w:rsidR="00D661DC">
        <w:t xml:space="preserve">Marco Tavani, </w:t>
      </w:r>
      <w:r w:rsidR="00A8015F">
        <w:t>dettaglia tutti i temi scientifici d’interesse.</w:t>
      </w:r>
    </w:p>
    <w:p w14:paraId="297E2547" w14:textId="03BD0F27" w:rsidR="00CF244D" w:rsidRDefault="00E926FC" w:rsidP="00DD406C">
      <w:pPr>
        <w:pStyle w:val="ListParagraph"/>
        <w:numPr>
          <w:ilvl w:val="0"/>
          <w:numId w:val="1"/>
        </w:numPr>
        <w:jc w:val="both"/>
      </w:pPr>
      <w:r>
        <w:t>SIA (università La Sapienza)</w:t>
      </w:r>
      <w:r w:rsidR="00A8015F">
        <w:t>. Uno dei possibili impieghi della configurazione/architettura per la fusione nucleare di PS è la propulsione spaziale. PS ben si presta a questa applicazione specifica: PS è molto leggera, semplice da assemblare anche in orbita, non richiede strutture con grandi masse come i tokamak convenzionali.</w:t>
      </w:r>
      <w:r w:rsidR="006812C0">
        <w:t xml:space="preserve"> Una reazione di fusione nucleare di tipo aneutronico (deuterio-elio3) produce ioni elio ad altissime temperature che possono essere espulsi (in maniera controllata) attraverso un ugello magnetico, implementando così un motore a ioni con un elevatissimo impulso specifico. </w:t>
      </w:r>
      <w:r w:rsidR="00A8015F">
        <w:t xml:space="preserve"> Queste peculiarità hanno attirato l’interesse della Scuola d’Ingegneria </w:t>
      </w:r>
      <w:r w:rsidR="006812C0">
        <w:t>aerospaziale (SIA</w:t>
      </w:r>
      <w:r w:rsidR="000023CD">
        <w:t xml:space="preserve">, </w:t>
      </w:r>
      <w:hyperlink r:id="rId8" w:history="1">
        <w:r w:rsidR="000023CD" w:rsidRPr="005759CB">
          <w:rPr>
            <w:rStyle w:val="Hyperlink"/>
          </w:rPr>
          <w:t>https://web.uniroma1.it/scuolaingegneriaaerospaziale/</w:t>
        </w:r>
      </w:hyperlink>
      <w:r w:rsidR="006812C0">
        <w:t>). A partire da gennaio 2022</w:t>
      </w:r>
      <w:r w:rsidR="00B560F5">
        <w:t xml:space="preserve">, abbiamo un dottorando (Daniele Iannarelli) che lavora a tempo pieno su questo argomento specifico. </w:t>
      </w:r>
      <w:r w:rsidR="00CC5EF5">
        <w:t xml:space="preserve">Abbiamo </w:t>
      </w:r>
      <w:r w:rsidR="00F644C1">
        <w:t xml:space="preserve">inoltre </w:t>
      </w:r>
      <w:r w:rsidR="00CC5EF5">
        <w:t>depositato una richiesta di finanziamento (ASI, valore totale 300kE) per lo</w:t>
      </w:r>
      <w:r w:rsidR="00B560F5">
        <w:t xml:space="preserve"> studio congiunto </w:t>
      </w:r>
      <w:r w:rsidR="00F644C1">
        <w:t xml:space="preserve">(SIA-ENEA) </w:t>
      </w:r>
      <w:r w:rsidR="00B560F5">
        <w:t xml:space="preserve">di </w:t>
      </w:r>
      <w:r w:rsidR="000023CD">
        <w:t>micro-propulsoli al plasma da impiegarsi su satelliti artificiali di piccola taglia.</w:t>
      </w:r>
      <w:r w:rsidR="00D661DC" w:rsidRPr="00D661DC">
        <w:t xml:space="preserve"> </w:t>
      </w:r>
    </w:p>
    <w:p w14:paraId="310DB69D" w14:textId="6136D937" w:rsidR="0003072C" w:rsidRDefault="0003072C" w:rsidP="00F644C1">
      <w:pPr>
        <w:pStyle w:val="ListParagraph"/>
        <w:numPr>
          <w:ilvl w:val="0"/>
          <w:numId w:val="1"/>
        </w:numPr>
        <w:jc w:val="both"/>
      </w:pPr>
      <w:r>
        <w:t>CREATE</w:t>
      </w:r>
      <w:r w:rsidR="00F644C1">
        <w:t>. L’interesse del CREATE principalmente deriva dalla possibilità di alta formazione che PROTO-SPHERA può offrire a tesisti e dottorandi di ricerca delle università che contribuiscono all’attività di ricerca del CREATE. Il CREATE promuove, in collaborazione con altre università partners, delle proposte relative al bando PRIN. In particolare, alcuni colleghi del SSD-ING-IND-31 (Elettrotecnica) stanno pensando ad una proposta riguardante la modellistica elettromagnetica di plasmi in dispositivi tipo tokamak. La natura di questa attività di ricerca è vicina alle tematiche di fisica del plasma per le quali l’esperimento PROTO-SPHERA rappresenta un banco prova ideale.</w:t>
      </w:r>
    </w:p>
    <w:p w14:paraId="4E92F365" w14:textId="77777777" w:rsidR="00CC5EF5" w:rsidRDefault="00CC5EF5" w:rsidP="00CC5EF5">
      <w:pPr>
        <w:pStyle w:val="ListParagraph"/>
        <w:jc w:val="both"/>
      </w:pPr>
    </w:p>
    <w:p w14:paraId="3A73799B" w14:textId="77777777" w:rsidR="00CC5EF5" w:rsidRDefault="00CC5EF5" w:rsidP="00DD406C">
      <w:pPr>
        <w:jc w:val="both"/>
        <w:rPr>
          <w:b/>
          <w:bCs/>
        </w:rPr>
      </w:pPr>
      <w:bookmarkStart w:id="1" w:name="_Hlk94585298"/>
    </w:p>
    <w:p w14:paraId="3F6C79BC" w14:textId="77777777" w:rsidR="00CC5EF5" w:rsidRDefault="00CC5EF5" w:rsidP="00DD406C">
      <w:pPr>
        <w:jc w:val="both"/>
        <w:rPr>
          <w:b/>
          <w:bCs/>
        </w:rPr>
      </w:pPr>
    </w:p>
    <w:p w14:paraId="36E1D075" w14:textId="77777777" w:rsidR="00CC5EF5" w:rsidRDefault="00CC5EF5" w:rsidP="00DD406C">
      <w:pPr>
        <w:jc w:val="both"/>
        <w:rPr>
          <w:b/>
          <w:bCs/>
        </w:rPr>
      </w:pPr>
    </w:p>
    <w:p w14:paraId="76832084" w14:textId="77777777" w:rsidR="00CC5EF5" w:rsidRDefault="00CC5EF5" w:rsidP="00DD406C">
      <w:pPr>
        <w:jc w:val="both"/>
        <w:rPr>
          <w:b/>
          <w:bCs/>
        </w:rPr>
      </w:pPr>
    </w:p>
    <w:p w14:paraId="0DCFA8D6" w14:textId="77777777" w:rsidR="00CC5EF5" w:rsidRDefault="00CC5EF5" w:rsidP="00DD406C">
      <w:pPr>
        <w:jc w:val="both"/>
        <w:rPr>
          <w:b/>
          <w:bCs/>
        </w:rPr>
      </w:pPr>
    </w:p>
    <w:p w14:paraId="1E33D452" w14:textId="77777777" w:rsidR="00CC5EF5" w:rsidRDefault="00CC5EF5" w:rsidP="00DD406C">
      <w:pPr>
        <w:jc w:val="both"/>
        <w:rPr>
          <w:b/>
          <w:bCs/>
        </w:rPr>
      </w:pPr>
    </w:p>
    <w:p w14:paraId="51330540" w14:textId="77777777" w:rsidR="00CC5EF5" w:rsidRDefault="00CC5EF5" w:rsidP="00DD406C">
      <w:pPr>
        <w:jc w:val="both"/>
        <w:rPr>
          <w:b/>
          <w:bCs/>
        </w:rPr>
      </w:pPr>
    </w:p>
    <w:p w14:paraId="356036C0" w14:textId="351509D6" w:rsidR="00CC5EF5" w:rsidRDefault="00CC5EF5" w:rsidP="00DD406C">
      <w:pPr>
        <w:jc w:val="both"/>
        <w:rPr>
          <w:b/>
          <w:bCs/>
        </w:rPr>
      </w:pPr>
    </w:p>
    <w:p w14:paraId="03271456" w14:textId="77777777" w:rsidR="0000077B" w:rsidRDefault="0000077B" w:rsidP="00DD406C">
      <w:pPr>
        <w:jc w:val="both"/>
        <w:rPr>
          <w:b/>
          <w:bCs/>
        </w:rPr>
      </w:pPr>
    </w:p>
    <w:p w14:paraId="29856658" w14:textId="6B0EE47B" w:rsidR="00CF244D" w:rsidRPr="00700A88" w:rsidRDefault="00437B3E" w:rsidP="00DD406C">
      <w:pPr>
        <w:jc w:val="both"/>
        <w:rPr>
          <w:b/>
          <w:bCs/>
        </w:rPr>
      </w:pPr>
      <w:r w:rsidRPr="00700A88">
        <w:rPr>
          <w:b/>
          <w:bCs/>
        </w:rPr>
        <w:lastRenderedPageBreak/>
        <w:t>ATTIVITA’ FINANZIATE ENEA-FSN</w:t>
      </w:r>
    </w:p>
    <w:bookmarkEnd w:id="1"/>
    <w:p w14:paraId="170971AE" w14:textId="7101F544" w:rsidR="009035A9" w:rsidRDefault="00BB5A8A" w:rsidP="00DD406C">
      <w:pPr>
        <w:jc w:val="both"/>
      </w:pPr>
      <w:r>
        <w:t>Le attività dettagliate di seguito sono a carico economico di FSN:</w:t>
      </w:r>
    </w:p>
    <w:p w14:paraId="732B1F2C" w14:textId="76BA1E02" w:rsidR="00BB5A8A" w:rsidRDefault="00BB5A8A" w:rsidP="00DD406C">
      <w:pPr>
        <w:pStyle w:val="ListParagraph"/>
        <w:numPr>
          <w:ilvl w:val="0"/>
          <w:numId w:val="2"/>
        </w:numPr>
        <w:jc w:val="both"/>
      </w:pPr>
      <w:r>
        <w:t>Sicurezza antincendio. La hall sperimentale deve essere dotata di sistemi automatici per la rilevazione degli incendi e di trasmissione automatica degli allarmi alla squadra emergenze del Centro.</w:t>
      </w:r>
    </w:p>
    <w:p w14:paraId="5D1E29DC" w14:textId="14638542" w:rsidR="00BB5A8A" w:rsidRDefault="00BB5A8A" w:rsidP="00DD406C">
      <w:pPr>
        <w:pStyle w:val="ListParagraph"/>
        <w:numPr>
          <w:ilvl w:val="0"/>
          <w:numId w:val="2"/>
        </w:numPr>
        <w:jc w:val="both"/>
      </w:pPr>
      <w:r>
        <w:t>Impianto gas. L’esperimento PS necessita la gestione di gas tecnici (azoto, argon, elio, etc.)</w:t>
      </w:r>
      <w:r w:rsidR="002C58CE">
        <w:t>.</w:t>
      </w:r>
    </w:p>
    <w:p w14:paraId="512D315A" w14:textId="48FBF950" w:rsidR="00BB5A8A" w:rsidRDefault="00BB5A8A" w:rsidP="00DD406C">
      <w:pPr>
        <w:pStyle w:val="ListParagraph"/>
        <w:numPr>
          <w:ilvl w:val="0"/>
          <w:numId w:val="2"/>
        </w:numPr>
        <w:jc w:val="both"/>
      </w:pPr>
      <w:r>
        <w:t>Pavimento hall. Il pavimento della hall deve essere sanificato e ricostruito con una superficie antiscivolo</w:t>
      </w:r>
      <w:r w:rsidR="002C58CE">
        <w:t>.</w:t>
      </w:r>
    </w:p>
    <w:p w14:paraId="08E4D71F" w14:textId="05983EB8" w:rsidR="00BB5A8A" w:rsidRDefault="00BB5A8A" w:rsidP="00DD406C">
      <w:pPr>
        <w:pStyle w:val="ListParagraph"/>
        <w:numPr>
          <w:ilvl w:val="0"/>
          <w:numId w:val="2"/>
        </w:numPr>
        <w:jc w:val="both"/>
      </w:pPr>
      <w:r>
        <w:t>Porte antipanico. Devono essere installate ex-novo due porte antipanico</w:t>
      </w:r>
      <w:r w:rsidR="002C58CE">
        <w:t>.</w:t>
      </w:r>
    </w:p>
    <w:p w14:paraId="65AFE3BF" w14:textId="4C472747" w:rsidR="00BB5A8A" w:rsidRDefault="00BB5A8A" w:rsidP="00DD406C">
      <w:pPr>
        <w:pStyle w:val="ListParagraph"/>
        <w:numPr>
          <w:ilvl w:val="0"/>
          <w:numId w:val="2"/>
        </w:numPr>
        <w:jc w:val="both"/>
      </w:pPr>
      <w:r>
        <w:t>Adeguamento soppalco. Il soppalco attuale non è meccanicamente compatibile con le strutture di accesso dell</w:t>
      </w:r>
      <w:r w:rsidR="00700A88">
        <w:t>’esperimento PS; esso deve essere adeguato di conseguenza.</w:t>
      </w:r>
    </w:p>
    <w:p w14:paraId="60BABD03" w14:textId="535100B6" w:rsidR="00700A88" w:rsidRDefault="00700A88" w:rsidP="00DD406C">
      <w:pPr>
        <w:pStyle w:val="ListParagraph"/>
        <w:numPr>
          <w:ilvl w:val="0"/>
          <w:numId w:val="2"/>
        </w:numPr>
        <w:jc w:val="both"/>
      </w:pPr>
      <w:r>
        <w:t>Sicurezza impianto. L’esperimento PS può essere operato solo in assenza di personale nelle immediate vicinanze: è quindi necessario provvedere un opportuno sistema di controllo automatico di accesso.</w:t>
      </w:r>
    </w:p>
    <w:p w14:paraId="65951C35" w14:textId="73DE52F6" w:rsidR="00700A88" w:rsidRDefault="00700A88" w:rsidP="00DD406C">
      <w:pPr>
        <w:pStyle w:val="ListParagraph"/>
        <w:numPr>
          <w:ilvl w:val="0"/>
          <w:numId w:val="2"/>
        </w:numPr>
        <w:jc w:val="both"/>
      </w:pPr>
      <w:r>
        <w:t xml:space="preserve">Attrezzature sala controllo. I computer dell’attuale sala controllo di PS sono oramai obsoleti, inadeguati alle funzioni richieste. In concomitanza dello spostamento dell’esperimento, è opportuno rinnovare il parco </w:t>
      </w:r>
      <w:r w:rsidR="00CB55E9">
        <w:t>workstation</w:t>
      </w:r>
      <w:r>
        <w:t xml:space="preserve"> ed introdurre nuove </w:t>
      </w:r>
      <w:r w:rsidR="00CB55E9">
        <w:t>facilities come schermi di grandi dimensioni per la rappresentazione dei dati acquisiti.</w:t>
      </w:r>
    </w:p>
    <w:p w14:paraId="33219E5B" w14:textId="403BEDB8" w:rsidR="00CB55E9" w:rsidRDefault="00CB55E9" w:rsidP="00DD406C">
      <w:pPr>
        <w:pStyle w:val="ListParagraph"/>
        <w:numPr>
          <w:ilvl w:val="0"/>
          <w:numId w:val="2"/>
        </w:numPr>
        <w:jc w:val="both"/>
      </w:pPr>
      <w:r>
        <w:t>Impianti in bassa tensione. La hall deve essere dotata di un sistema di distribuzione trifase/monofase in grado di alimentare le apparecchiature di supporto. Questa voce include anche l’impianto di illuminazione e le emergenze.</w:t>
      </w:r>
    </w:p>
    <w:p w14:paraId="5B1693B1" w14:textId="77777777" w:rsidR="00CB55E9" w:rsidRDefault="00CB55E9" w:rsidP="00DD406C">
      <w:pPr>
        <w:pStyle w:val="ListParagraph"/>
        <w:numPr>
          <w:ilvl w:val="0"/>
          <w:numId w:val="2"/>
        </w:numPr>
        <w:jc w:val="both"/>
      </w:pPr>
      <w:r>
        <w:t>Cabina MT (media tensione). La notevole potenza richiesta da PS deriva da una linea 20kV trifase che richiede una sua cabina completa di sicurezze.</w:t>
      </w:r>
    </w:p>
    <w:p w14:paraId="00BD4E47" w14:textId="53D5A997" w:rsidR="00BB5A8A" w:rsidRDefault="00CB55E9" w:rsidP="00DD406C">
      <w:pPr>
        <w:pStyle w:val="ListParagraph"/>
        <w:numPr>
          <w:ilvl w:val="0"/>
          <w:numId w:val="2"/>
        </w:numPr>
        <w:jc w:val="both"/>
      </w:pPr>
      <w:r w:rsidRPr="00CB55E9">
        <w:t>Trasporto alimentatori PS</w:t>
      </w:r>
      <w:r>
        <w:t xml:space="preserve"> inclusa la posa della</w:t>
      </w:r>
      <w:r w:rsidRPr="00CB55E9">
        <w:t xml:space="preserve"> linea di MT</w:t>
      </w:r>
      <w:r>
        <w:t>. Gli alimentatori di PS (pinch, filamenti, elettromagneti, etc.) dovranno essere spostati dall’edificio F-87 all’edificio F-23.</w:t>
      </w:r>
    </w:p>
    <w:p w14:paraId="46D7EBFC" w14:textId="50252D75" w:rsidR="00CB55E9" w:rsidRDefault="00CB55E9" w:rsidP="00DD406C">
      <w:pPr>
        <w:pStyle w:val="ListParagraph"/>
        <w:numPr>
          <w:ilvl w:val="0"/>
          <w:numId w:val="2"/>
        </w:numPr>
        <w:jc w:val="both"/>
      </w:pPr>
      <w:r w:rsidRPr="00CB55E9">
        <w:t>Adeguamento alloggio trasformatori</w:t>
      </w:r>
      <w:r>
        <w:t xml:space="preserve">. Gli alloggi di alcuni trasformatori 20kV/400 VAC </w:t>
      </w:r>
      <w:r w:rsidR="00DC3AC5">
        <w:t>trifase</w:t>
      </w:r>
      <w:r>
        <w:t xml:space="preserve"> devo essere adeguati.</w:t>
      </w:r>
    </w:p>
    <w:p w14:paraId="3D4DB0EE" w14:textId="4444F0F3" w:rsidR="00DC3AC5" w:rsidRDefault="00DC3AC5" w:rsidP="00DD406C">
      <w:pPr>
        <w:pStyle w:val="ListParagraph"/>
        <w:numPr>
          <w:ilvl w:val="0"/>
          <w:numId w:val="2"/>
        </w:numPr>
        <w:jc w:val="both"/>
      </w:pPr>
      <w:r w:rsidRPr="00DC3AC5">
        <w:t>Spostamento PS da F-87 a F-23</w:t>
      </w:r>
      <w:r>
        <w:t xml:space="preserve">. Infine, PS dovrà essere smontata, messa in sicurezza, trasportata a pezzi per poi essere rimontata e messa di nuovo in grado di operare nella nuova hall. </w:t>
      </w:r>
    </w:p>
    <w:p w14:paraId="501F5E91" w14:textId="120EE512" w:rsidR="0091049E" w:rsidRDefault="0091049E" w:rsidP="00DD406C">
      <w:pPr>
        <w:jc w:val="both"/>
      </w:pPr>
    </w:p>
    <w:p w14:paraId="6076AFE4" w14:textId="4BBBE08E" w:rsidR="00D30EEA" w:rsidRPr="00D30EEA" w:rsidRDefault="00D30EEA" w:rsidP="00DD406C">
      <w:pPr>
        <w:jc w:val="both"/>
        <w:rPr>
          <w:b/>
          <w:bCs/>
        </w:rPr>
      </w:pPr>
      <w:r w:rsidRPr="00D30EEA">
        <w:rPr>
          <w:b/>
          <w:bCs/>
        </w:rPr>
        <w:t>ATTIVITA’ FINANZIATE ENEA-CENTRO-FRASCATI</w:t>
      </w:r>
    </w:p>
    <w:p w14:paraId="01A28447" w14:textId="68121FCA" w:rsidR="00D30EEA" w:rsidRDefault="00D30EEA" w:rsidP="00DD406C">
      <w:pPr>
        <w:jc w:val="both"/>
      </w:pPr>
      <w:r>
        <w:t>Le attività dettagliate di seguito sono a carico del Centro (ENEA Frascati):</w:t>
      </w:r>
    </w:p>
    <w:p w14:paraId="078956F6" w14:textId="388C69C8" w:rsidR="00AC08A4" w:rsidRDefault="00AC08A4" w:rsidP="00AC08A4">
      <w:pPr>
        <w:pStyle w:val="ListParagraph"/>
        <w:numPr>
          <w:ilvl w:val="0"/>
          <w:numId w:val="3"/>
        </w:numPr>
        <w:jc w:val="both"/>
      </w:pPr>
      <w:r>
        <w:t>Rifacimento Sala Controllo PS F-23. I locali della futura sala controllo sono in stato deprecabile. Impianti elettrici, impianti di climatizzazione, infissi, pavimenti devono essere interamente ristrutturati. Va verificata anche la eventuale presenza di amianto.</w:t>
      </w:r>
    </w:p>
    <w:p w14:paraId="3AD9CCF8" w14:textId="3DC98019" w:rsidR="00AC08A4" w:rsidRDefault="00AC08A4" w:rsidP="00AC08A4">
      <w:pPr>
        <w:pStyle w:val="ListParagraph"/>
        <w:numPr>
          <w:ilvl w:val="0"/>
          <w:numId w:val="3"/>
        </w:numPr>
        <w:jc w:val="both"/>
      </w:pPr>
      <w:r>
        <w:t>Rifacimento Uffici PS – F-23. Vedi punto precedente.</w:t>
      </w:r>
    </w:p>
    <w:p w14:paraId="50992960" w14:textId="58CF2D47" w:rsidR="00AC08A4" w:rsidRDefault="00AC08A4" w:rsidP="00AC08A4">
      <w:pPr>
        <w:pStyle w:val="ListParagraph"/>
        <w:numPr>
          <w:ilvl w:val="0"/>
          <w:numId w:val="3"/>
        </w:numPr>
        <w:jc w:val="both"/>
      </w:pPr>
      <w:r>
        <w:t>Sgombero locali. Numerosi locali devono essere sgomberati da materiale obsoleto da dismettere.</w:t>
      </w:r>
    </w:p>
    <w:p w14:paraId="1ED51534" w14:textId="137F2DA9" w:rsidR="00AC08A4" w:rsidRDefault="00AC08A4" w:rsidP="00AC08A4">
      <w:pPr>
        <w:pStyle w:val="ListParagraph"/>
        <w:numPr>
          <w:ilvl w:val="0"/>
          <w:numId w:val="3"/>
        </w:numPr>
        <w:jc w:val="both"/>
      </w:pPr>
      <w:r>
        <w:t>Impianto di ventilazione/condizionamento. Da rifare da zero (vedi punto 1)</w:t>
      </w:r>
    </w:p>
    <w:p w14:paraId="6F9B30BF" w14:textId="63C8449C" w:rsidR="00AC08A4" w:rsidRDefault="00AC08A4" w:rsidP="00AC08A4">
      <w:pPr>
        <w:pStyle w:val="ListParagraph"/>
        <w:numPr>
          <w:ilvl w:val="0"/>
          <w:numId w:val="3"/>
        </w:numPr>
        <w:jc w:val="both"/>
      </w:pPr>
      <w:r>
        <w:t>Verifica e riparazione tetto hall F-23. Il tetto della hall mostra numerose infiltrazioni d’acqua che devono essere riparate.</w:t>
      </w:r>
    </w:p>
    <w:p w14:paraId="2FAA0CD1" w14:textId="6B42B883" w:rsidR="00AC08A4" w:rsidRDefault="00AC08A4" w:rsidP="00AC08A4">
      <w:pPr>
        <w:pStyle w:val="ListParagraph"/>
        <w:numPr>
          <w:ilvl w:val="0"/>
          <w:numId w:val="3"/>
        </w:numPr>
        <w:jc w:val="both"/>
      </w:pPr>
      <w:r>
        <w:t>Nuovi infissi hall F-23. Gli infissi della hall non sono adeguati alla funzione.</w:t>
      </w:r>
    </w:p>
    <w:p w14:paraId="29BA8A77" w14:textId="75248B00" w:rsidR="00AC08A4" w:rsidRDefault="00AC08A4" w:rsidP="00AC08A4">
      <w:pPr>
        <w:pStyle w:val="ListParagraph"/>
        <w:numPr>
          <w:ilvl w:val="0"/>
          <w:numId w:val="3"/>
        </w:numPr>
        <w:jc w:val="both"/>
      </w:pPr>
      <w:r>
        <w:t>Impianto aria compressa. Presente, da revisionare.</w:t>
      </w:r>
    </w:p>
    <w:p w14:paraId="1A5A84F4" w14:textId="2A6B48A2" w:rsidR="00D30EEA" w:rsidRDefault="00AC08A4" w:rsidP="00AC08A4">
      <w:pPr>
        <w:pStyle w:val="ListParagraph"/>
        <w:numPr>
          <w:ilvl w:val="0"/>
          <w:numId w:val="3"/>
        </w:numPr>
        <w:jc w:val="both"/>
      </w:pPr>
      <w:r>
        <w:t>Impianto distribuzione acqua. Presente, da revisionare</w:t>
      </w:r>
    </w:p>
    <w:p w14:paraId="70CE2745" w14:textId="6D78C38A" w:rsidR="00AC08A4" w:rsidRDefault="00AC08A4" w:rsidP="00AC08A4">
      <w:pPr>
        <w:jc w:val="both"/>
      </w:pPr>
    </w:p>
    <w:p w14:paraId="00F0C217" w14:textId="77777777" w:rsidR="0000077B" w:rsidRDefault="0000077B" w:rsidP="00AC08A4">
      <w:pPr>
        <w:jc w:val="both"/>
        <w:rPr>
          <w:b/>
          <w:bCs/>
        </w:rPr>
      </w:pPr>
    </w:p>
    <w:p w14:paraId="4CF263C4" w14:textId="0D43E68F" w:rsidR="00703CB0" w:rsidRPr="00703CB0" w:rsidRDefault="00703CB0" w:rsidP="00AC08A4">
      <w:pPr>
        <w:jc w:val="both"/>
        <w:rPr>
          <w:b/>
          <w:bCs/>
        </w:rPr>
      </w:pPr>
      <w:r w:rsidRPr="00703CB0">
        <w:rPr>
          <w:b/>
          <w:bCs/>
        </w:rPr>
        <w:lastRenderedPageBreak/>
        <w:t>TEMPI DI ESECUZIONE DEI LAVORI</w:t>
      </w:r>
    </w:p>
    <w:p w14:paraId="59C89B04" w14:textId="0633DA87" w:rsidR="00703CB0" w:rsidRDefault="00703CB0" w:rsidP="00AC08A4">
      <w:pPr>
        <w:jc w:val="both"/>
      </w:pPr>
      <w:r>
        <w:t xml:space="preserve">Anche tenendo conto del fatto che abbiamo già in mano le offerte economiche di tutti i lavori e che praticamente quasi tutte le attività possono partire lo stesso giorno, sono necessari un </w:t>
      </w:r>
      <w:r w:rsidR="00444E8D">
        <w:t>massimo</w:t>
      </w:r>
      <w:r>
        <w:t xml:space="preserve"> di </w:t>
      </w:r>
      <w:r w:rsidRPr="00703CB0">
        <w:rPr>
          <w:b/>
          <w:bCs/>
        </w:rPr>
        <w:t>dieci mesi</w:t>
      </w:r>
      <w:r>
        <w:t xml:space="preserve"> a partire dalla reale messa a disposizione dei fondi.</w:t>
      </w:r>
    </w:p>
    <w:p w14:paraId="4B04B06A" w14:textId="611793A4" w:rsidR="00703CB0" w:rsidRDefault="00703CB0" w:rsidP="00AC08A4">
      <w:pPr>
        <w:jc w:val="both"/>
      </w:pPr>
      <w:r>
        <w:t>Di fatto, l’unica attività che deve essere messa in coda è il trasferimento della macchina (12).</w:t>
      </w:r>
    </w:p>
    <w:p w14:paraId="6087EBA5" w14:textId="0CC26608" w:rsidR="00703CB0" w:rsidRDefault="00703CB0" w:rsidP="00AC08A4">
      <w:pPr>
        <w:jc w:val="both"/>
      </w:pPr>
    </w:p>
    <w:p w14:paraId="39765398" w14:textId="77777777" w:rsidR="00AC08A4" w:rsidRDefault="00AC08A4" w:rsidP="00AC08A4">
      <w:pPr>
        <w:jc w:val="both"/>
      </w:pPr>
    </w:p>
    <w:sectPr w:rsidR="00AC08A4">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F7B638" w14:textId="77777777" w:rsidR="00A26DD9" w:rsidRDefault="00A26DD9" w:rsidP="00BB5A8A">
      <w:pPr>
        <w:spacing w:after="0" w:line="240" w:lineRule="auto"/>
      </w:pPr>
      <w:r>
        <w:separator/>
      </w:r>
    </w:p>
  </w:endnote>
  <w:endnote w:type="continuationSeparator" w:id="0">
    <w:p w14:paraId="0F9266EC" w14:textId="77777777" w:rsidR="00A26DD9" w:rsidRDefault="00A26DD9" w:rsidP="00BB5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2575601"/>
      <w:docPartObj>
        <w:docPartGallery w:val="Page Numbers (Bottom of Page)"/>
        <w:docPartUnique/>
      </w:docPartObj>
    </w:sdtPr>
    <w:sdtEndPr/>
    <w:sdtContent>
      <w:p w14:paraId="56F916FA" w14:textId="0F45623D" w:rsidR="00BB5A8A" w:rsidRDefault="00BB5A8A">
        <w:pPr>
          <w:pStyle w:val="Footer"/>
          <w:jc w:val="center"/>
        </w:pPr>
        <w:r>
          <w:fldChar w:fldCharType="begin"/>
        </w:r>
        <w:r>
          <w:instrText>PAGE   \* MERGEFORMAT</w:instrText>
        </w:r>
        <w:r>
          <w:fldChar w:fldCharType="separate"/>
        </w:r>
        <w:r w:rsidR="00834EF6">
          <w:rPr>
            <w:noProof/>
          </w:rPr>
          <w:t>1</w:t>
        </w:r>
        <w:r>
          <w:fldChar w:fldCharType="end"/>
        </w:r>
      </w:p>
    </w:sdtContent>
  </w:sdt>
  <w:p w14:paraId="390C53E8" w14:textId="77777777" w:rsidR="00BB5A8A" w:rsidRDefault="00BB5A8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CC7393" w14:textId="77777777" w:rsidR="00A26DD9" w:rsidRDefault="00A26DD9" w:rsidP="00BB5A8A">
      <w:pPr>
        <w:spacing w:after="0" w:line="240" w:lineRule="auto"/>
      </w:pPr>
      <w:r>
        <w:separator/>
      </w:r>
    </w:p>
  </w:footnote>
  <w:footnote w:type="continuationSeparator" w:id="0">
    <w:p w14:paraId="3DE29545" w14:textId="77777777" w:rsidR="00A26DD9" w:rsidRDefault="00A26DD9" w:rsidP="00BB5A8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CF5FD6"/>
    <w:multiLevelType w:val="hybridMultilevel"/>
    <w:tmpl w:val="D16464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E5A42CB"/>
    <w:multiLevelType w:val="hybridMultilevel"/>
    <w:tmpl w:val="7C7E69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EBE6DE1"/>
    <w:multiLevelType w:val="hybridMultilevel"/>
    <w:tmpl w:val="6068E2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250"/>
    <w:rsid w:val="0000077B"/>
    <w:rsid w:val="000023CD"/>
    <w:rsid w:val="0003072C"/>
    <w:rsid w:val="00034CB0"/>
    <w:rsid w:val="0010188C"/>
    <w:rsid w:val="002C58CE"/>
    <w:rsid w:val="00301250"/>
    <w:rsid w:val="0035713D"/>
    <w:rsid w:val="00437B3E"/>
    <w:rsid w:val="00444E8D"/>
    <w:rsid w:val="005E37BE"/>
    <w:rsid w:val="005E7FD3"/>
    <w:rsid w:val="00601FE2"/>
    <w:rsid w:val="006812C0"/>
    <w:rsid w:val="00686792"/>
    <w:rsid w:val="00700A88"/>
    <w:rsid w:val="00703CB0"/>
    <w:rsid w:val="00792FD0"/>
    <w:rsid w:val="007B70C6"/>
    <w:rsid w:val="007D5106"/>
    <w:rsid w:val="00834EF6"/>
    <w:rsid w:val="00847520"/>
    <w:rsid w:val="00875D61"/>
    <w:rsid w:val="008B777C"/>
    <w:rsid w:val="009035A9"/>
    <w:rsid w:val="0091049E"/>
    <w:rsid w:val="00A26DD9"/>
    <w:rsid w:val="00A37B31"/>
    <w:rsid w:val="00A5688A"/>
    <w:rsid w:val="00A8015F"/>
    <w:rsid w:val="00AA48FF"/>
    <w:rsid w:val="00AC08A4"/>
    <w:rsid w:val="00B560F5"/>
    <w:rsid w:val="00BB47C4"/>
    <w:rsid w:val="00BB5A8A"/>
    <w:rsid w:val="00BC352F"/>
    <w:rsid w:val="00BD1FEE"/>
    <w:rsid w:val="00BD5337"/>
    <w:rsid w:val="00C34A4A"/>
    <w:rsid w:val="00CB55E9"/>
    <w:rsid w:val="00CC5EF5"/>
    <w:rsid w:val="00CF244D"/>
    <w:rsid w:val="00CF6F72"/>
    <w:rsid w:val="00D30EEA"/>
    <w:rsid w:val="00D661DC"/>
    <w:rsid w:val="00DC3AC5"/>
    <w:rsid w:val="00DD406C"/>
    <w:rsid w:val="00E926FC"/>
    <w:rsid w:val="00ED0421"/>
    <w:rsid w:val="00F343C5"/>
    <w:rsid w:val="00F364B1"/>
    <w:rsid w:val="00F644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41AE4"/>
  <w15:chartTrackingRefBased/>
  <w15:docId w15:val="{473A9BA0-3F00-4964-A3C2-E336EC9D8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26FC"/>
    <w:pPr>
      <w:ind w:left="720"/>
      <w:contextualSpacing/>
    </w:pPr>
  </w:style>
  <w:style w:type="character" w:styleId="Hyperlink">
    <w:name w:val="Hyperlink"/>
    <w:basedOn w:val="DefaultParagraphFont"/>
    <w:uiPriority w:val="99"/>
    <w:unhideWhenUsed/>
    <w:rsid w:val="00E926FC"/>
    <w:rPr>
      <w:color w:val="0563C1" w:themeColor="hyperlink"/>
      <w:u w:val="single"/>
    </w:rPr>
  </w:style>
  <w:style w:type="character" w:customStyle="1" w:styleId="Menzionenonrisolta1">
    <w:name w:val="Menzione non risolta1"/>
    <w:basedOn w:val="DefaultParagraphFont"/>
    <w:uiPriority w:val="99"/>
    <w:semiHidden/>
    <w:unhideWhenUsed/>
    <w:rsid w:val="00E926FC"/>
    <w:rPr>
      <w:color w:val="605E5C"/>
      <w:shd w:val="clear" w:color="auto" w:fill="E1DFDD"/>
    </w:rPr>
  </w:style>
  <w:style w:type="paragraph" w:styleId="Header">
    <w:name w:val="header"/>
    <w:basedOn w:val="Normal"/>
    <w:link w:val="HeaderChar"/>
    <w:uiPriority w:val="99"/>
    <w:unhideWhenUsed/>
    <w:rsid w:val="00BB5A8A"/>
    <w:pPr>
      <w:tabs>
        <w:tab w:val="center" w:pos="4819"/>
        <w:tab w:val="right" w:pos="9638"/>
      </w:tabs>
      <w:spacing w:after="0" w:line="240" w:lineRule="auto"/>
    </w:pPr>
  </w:style>
  <w:style w:type="character" w:customStyle="1" w:styleId="HeaderChar">
    <w:name w:val="Header Char"/>
    <w:basedOn w:val="DefaultParagraphFont"/>
    <w:link w:val="Header"/>
    <w:uiPriority w:val="99"/>
    <w:rsid w:val="00BB5A8A"/>
  </w:style>
  <w:style w:type="paragraph" w:styleId="Footer">
    <w:name w:val="footer"/>
    <w:basedOn w:val="Normal"/>
    <w:link w:val="FooterChar"/>
    <w:uiPriority w:val="99"/>
    <w:unhideWhenUsed/>
    <w:rsid w:val="00BB5A8A"/>
    <w:pPr>
      <w:tabs>
        <w:tab w:val="center" w:pos="4819"/>
        <w:tab w:val="right" w:pos="9638"/>
      </w:tabs>
      <w:spacing w:after="0" w:line="240" w:lineRule="auto"/>
    </w:pPr>
  </w:style>
  <w:style w:type="character" w:customStyle="1" w:styleId="FooterChar">
    <w:name w:val="Footer Char"/>
    <w:basedOn w:val="DefaultParagraphFont"/>
    <w:link w:val="Footer"/>
    <w:uiPriority w:val="99"/>
    <w:rsid w:val="00BB5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inaf.it" TargetMode="External"/><Relationship Id="rId8" Type="http://schemas.openxmlformats.org/officeDocument/2006/relationships/hyperlink" Target="https://web.uniroma1.it/scuolaingegneriaaerospaziale/"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4</Pages>
  <Words>1405</Words>
  <Characters>8012</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Mannori</dc:creator>
  <cp:keywords/>
  <dc:description/>
  <cp:lastModifiedBy>Microsoft Office User</cp:lastModifiedBy>
  <cp:revision>7</cp:revision>
  <dcterms:created xsi:type="dcterms:W3CDTF">2022-03-02T12:58:00Z</dcterms:created>
  <dcterms:modified xsi:type="dcterms:W3CDTF">2022-03-07T10:21:00Z</dcterms:modified>
</cp:coreProperties>
</file>