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7A2" w:rsidRDefault="00B057A2">
      <w:r>
        <w:t>Lavorazioni Coils Interni.</w:t>
      </w:r>
    </w:p>
    <w:p w:rsidR="00B057A2" w:rsidRDefault="00B057A2"/>
    <w:p w:rsidR="00C20868" w:rsidRDefault="00092914">
      <w:r>
        <w:t>I coil interni smontati devono essere ripuliti.</w:t>
      </w:r>
    </w:p>
    <w:p w:rsidR="00092914" w:rsidRDefault="00092914">
      <w:r>
        <w:t>Devono essere rimontati  i passanti da vuoto dopo pulizia e test da vuoto.</w:t>
      </w:r>
    </w:p>
    <w:p w:rsidR="00092914" w:rsidRDefault="00467258">
      <w:r>
        <w:t>I nuovi morsetti devono essere ripuliti e qui</w:t>
      </w:r>
      <w:r w:rsidR="008D6CC8">
        <w:t>n</w:t>
      </w:r>
      <w:r>
        <w:t>di essere abbinati a bulloneria inox pulita e di dimensioni opportune.</w:t>
      </w:r>
      <w:bookmarkStart w:id="0" w:name="_GoBack"/>
      <w:bookmarkEnd w:id="0"/>
    </w:p>
    <w:p w:rsidR="00092914" w:rsidRDefault="00092914">
      <w:r>
        <w:t>Si deve ripristinare il rivestimento isolante in capton.</w:t>
      </w:r>
    </w:p>
    <w:p w:rsidR="00092914" w:rsidRDefault="00092914">
      <w:r>
        <w:t>I coils devono essere assemblati</w:t>
      </w:r>
      <w:r w:rsidR="00B057A2">
        <w:t xml:space="preserve"> </w:t>
      </w:r>
      <w:r>
        <w:t xml:space="preserve">con i supporti con la procedura attuata la volta scorsa. Montare prima </w:t>
      </w:r>
      <w:r w:rsidR="00B057A2">
        <w:t>quattro</w:t>
      </w:r>
      <w:r>
        <w:t xml:space="preserve"> supporti per 180°, inserendo quindi i due coils e poi gli ultimi due supporti.</w:t>
      </w:r>
    </w:p>
    <w:p w:rsidR="00092914" w:rsidRDefault="00092914">
      <w:r>
        <w:t xml:space="preserve">Il fissaggio avviene con lastrine inox e saldatura a punti con spaziatori da 2 cm di inox recuperati dal taglio dei supporti stessi e già utilizzati </w:t>
      </w:r>
      <w:r w:rsidR="00B057A2">
        <w:t>in precedenza</w:t>
      </w:r>
      <w:r>
        <w:t>.</w:t>
      </w:r>
    </w:p>
    <w:p w:rsidR="00B057A2" w:rsidRDefault="00B057A2">
      <w:r>
        <w:t xml:space="preserve">I coils interni inferiori </w:t>
      </w:r>
      <w:r w:rsidR="00467258">
        <w:t>saranno</w:t>
      </w:r>
      <w:r>
        <w:t xml:space="preserve"> montati con i gruppi 2 e 4 già assemblati e già in posizione sul carrello sotto la camera.</w:t>
      </w:r>
    </w:p>
    <w:p w:rsidR="00B057A2" w:rsidRDefault="00B057A2">
      <w:r>
        <w:t>A seguire sempre in questa posizione si monta il Divertore inferiore e gli schermi e diaframmi in policarbonato solidali a questi gruppi.</w:t>
      </w:r>
    </w:p>
    <w:p w:rsidR="00B057A2" w:rsidRDefault="00B057A2">
      <w:r>
        <w:t>A montaggio ultimato si procede al test dei Coils Interni con la procedura individuata per i Rogowsky.</w:t>
      </w:r>
    </w:p>
    <w:p w:rsidR="00555E81" w:rsidRDefault="00555E81"/>
    <w:p w:rsidR="00555E81" w:rsidRDefault="00555E81">
      <w:r>
        <w:t xml:space="preserve">Nota: Si sono effettuate modifiche nei collegamenti originali tra alimentatori e coils gruppo interno PF1 e PF5 e coils gruppo esterno, si deve eventualmente valutare la convenienza, ai fini di minimizzare la resistenza dei collegamenti di togliere il ramo morto verso il Supercapacitors. </w:t>
      </w:r>
    </w:p>
    <w:sectPr w:rsidR="00555E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87"/>
    <w:rsid w:val="00092914"/>
    <w:rsid w:val="00467258"/>
    <w:rsid w:val="00555E81"/>
    <w:rsid w:val="008D6CC8"/>
    <w:rsid w:val="00B057A2"/>
    <w:rsid w:val="00C20868"/>
    <w:rsid w:val="00C3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</dc:creator>
  <cp:keywords/>
  <dc:description/>
  <cp:lastModifiedBy>Tilia</cp:lastModifiedBy>
  <cp:revision>5</cp:revision>
  <dcterms:created xsi:type="dcterms:W3CDTF">2020-04-03T08:25:00Z</dcterms:created>
  <dcterms:modified xsi:type="dcterms:W3CDTF">2020-04-07T16:33:00Z</dcterms:modified>
</cp:coreProperties>
</file>