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67C51" w14:textId="31FB90E9" w:rsidR="00214A96" w:rsidRPr="00AA4827" w:rsidRDefault="0051403E" w:rsidP="00214A96">
      <w:pPr>
        <w:snapToGrid w:val="0"/>
        <w:spacing w:line="180" w:lineRule="atLeast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PROTO-SPHERA:</w:t>
      </w:r>
      <w:r w:rsidR="00214A96" w:rsidRPr="00AA4827">
        <w:rPr>
          <w:rFonts w:cstheme="minorHAnsi"/>
          <w:b/>
          <w:bCs/>
        </w:rPr>
        <w:t xml:space="preserve"> a “bridge” </w:t>
      </w:r>
      <w:r>
        <w:rPr>
          <w:rFonts w:cstheme="minorHAnsi"/>
          <w:b/>
          <w:bCs/>
        </w:rPr>
        <w:t>between</w:t>
      </w:r>
      <w:r w:rsidR="00214A96" w:rsidRPr="00AA4827">
        <w:rPr>
          <w:rFonts w:cstheme="minorHAnsi"/>
          <w:b/>
          <w:bCs/>
        </w:rPr>
        <w:t xml:space="preserve"> laboratory </w:t>
      </w:r>
      <w:r>
        <w:rPr>
          <w:rFonts w:cstheme="minorHAnsi"/>
          <w:b/>
          <w:bCs/>
        </w:rPr>
        <w:t>and</w:t>
      </w:r>
      <w:r w:rsidR="00214A96" w:rsidRPr="00AA4827">
        <w:rPr>
          <w:rFonts w:cstheme="minorHAnsi"/>
          <w:b/>
          <w:bCs/>
        </w:rPr>
        <w:t xml:space="preserve"> astrophysical plasmas</w:t>
      </w:r>
    </w:p>
    <w:p w14:paraId="1EBBFA35" w14:textId="77777777" w:rsidR="00214A96" w:rsidRPr="006D7158" w:rsidRDefault="00214A96" w:rsidP="00214A96">
      <w:pPr>
        <w:snapToGrid w:val="0"/>
        <w:spacing w:line="180" w:lineRule="atLeast"/>
        <w:jc w:val="center"/>
        <w:rPr>
          <w:rFonts w:cstheme="minorHAnsi"/>
          <w:lang w:val="en-GB"/>
        </w:rPr>
      </w:pPr>
    </w:p>
    <w:p w14:paraId="2C7A8FC2" w14:textId="77777777" w:rsidR="00214A96" w:rsidRDefault="00214A96" w:rsidP="00214A96">
      <w:pPr>
        <w:snapToGrid w:val="0"/>
        <w:spacing w:line="180" w:lineRule="atLeast"/>
        <w:jc w:val="center"/>
        <w:rPr>
          <w:rFonts w:cstheme="minorHAnsi"/>
          <w:lang w:val="it-IT"/>
        </w:rPr>
      </w:pPr>
      <w:r w:rsidRPr="00214A96">
        <w:rPr>
          <w:rFonts w:cstheme="minorHAnsi"/>
          <w:lang w:val="it-IT"/>
        </w:rPr>
        <w:t>Micozzi P.</w:t>
      </w:r>
      <w:r w:rsidRPr="00214A96">
        <w:rPr>
          <w:rFonts w:cstheme="minorHAnsi"/>
          <w:vertAlign w:val="superscript"/>
          <w:lang w:val="it-IT"/>
        </w:rPr>
        <w:t>1</w:t>
      </w:r>
      <w:r w:rsidRPr="00214A96">
        <w:rPr>
          <w:rFonts w:cstheme="minorHAnsi"/>
          <w:lang w:val="it-IT"/>
        </w:rPr>
        <w:t>, and PROTO-SPHERA Group</w:t>
      </w:r>
    </w:p>
    <w:p w14:paraId="74E9CA68" w14:textId="77777777" w:rsidR="00214A96" w:rsidRPr="00214A96" w:rsidRDefault="00214A96" w:rsidP="00214A96">
      <w:pPr>
        <w:snapToGrid w:val="0"/>
        <w:spacing w:line="180" w:lineRule="atLeast"/>
        <w:jc w:val="center"/>
        <w:rPr>
          <w:rFonts w:cstheme="minorHAnsi"/>
          <w:sz w:val="20"/>
          <w:szCs w:val="20"/>
          <w:lang w:val="it-IT"/>
        </w:rPr>
      </w:pPr>
    </w:p>
    <w:p w14:paraId="4806FC2E" w14:textId="4B77AE49" w:rsidR="00214A96" w:rsidRPr="00214A96" w:rsidRDefault="00214A96" w:rsidP="006D7158">
      <w:pPr>
        <w:snapToGrid w:val="0"/>
        <w:spacing w:line="180" w:lineRule="atLeast"/>
        <w:jc w:val="left"/>
        <w:rPr>
          <w:rFonts w:cstheme="minorHAnsi"/>
          <w:lang w:val="it-IT"/>
        </w:rPr>
      </w:pPr>
      <w:r w:rsidRPr="00214A96">
        <w:rPr>
          <w:rFonts w:cstheme="minorHAnsi"/>
          <w:vertAlign w:val="superscript"/>
          <w:lang w:val="it-IT"/>
        </w:rPr>
        <w:t>1</w:t>
      </w:r>
      <w:r w:rsidRPr="00214A96">
        <w:rPr>
          <w:rFonts w:cstheme="minorHAnsi"/>
          <w:lang w:val="it-IT"/>
        </w:rPr>
        <w:t xml:space="preserve"> ENEA</w:t>
      </w:r>
      <w:r w:rsidR="001A7849">
        <w:rPr>
          <w:rFonts w:cstheme="minorHAnsi"/>
          <w:lang w:val="it-IT"/>
        </w:rPr>
        <w:t>, CR Frascati, Via Enrico Fermi</w:t>
      </w:r>
      <w:r w:rsidRPr="00214A96">
        <w:rPr>
          <w:rFonts w:cstheme="minorHAnsi"/>
          <w:lang w:val="it-IT"/>
        </w:rPr>
        <w:t xml:space="preserve"> 45</w:t>
      </w:r>
      <w:r w:rsidR="00391B2E">
        <w:rPr>
          <w:rFonts w:cstheme="minorHAnsi"/>
          <w:lang w:val="it-IT"/>
        </w:rPr>
        <w:t xml:space="preserve">, </w:t>
      </w:r>
      <w:r w:rsidRPr="00214A96">
        <w:rPr>
          <w:rFonts w:cstheme="minorHAnsi"/>
          <w:lang w:val="it-IT"/>
        </w:rPr>
        <w:t>00044 Frascati (Roma),</w:t>
      </w:r>
      <w:r w:rsidRPr="00214A96">
        <w:rPr>
          <w:rFonts w:cstheme="minorHAnsi"/>
          <w:vertAlign w:val="superscript"/>
          <w:lang w:val="it-IT"/>
        </w:rPr>
        <w:t xml:space="preserve"> </w:t>
      </w:r>
      <w:r w:rsidRPr="00214A96">
        <w:rPr>
          <w:rFonts w:cstheme="minorHAnsi"/>
          <w:kern w:val="0"/>
          <w:lang w:val="it-IT"/>
        </w:rPr>
        <w:t>Italy</w:t>
      </w:r>
    </w:p>
    <w:p w14:paraId="4F05490D" w14:textId="77777777" w:rsidR="00E51FBB" w:rsidRDefault="00214A96" w:rsidP="006D7158">
      <w:pPr>
        <w:jc w:val="left"/>
        <w:rPr>
          <w:rFonts w:cstheme="minorHAnsi"/>
          <w:lang w:val="it-IT"/>
        </w:rPr>
      </w:pPr>
      <w:r w:rsidRPr="00214A96">
        <w:rPr>
          <w:rFonts w:cstheme="minorHAnsi"/>
          <w:lang w:val="it-IT"/>
        </w:rPr>
        <w:t>e-mail (</w:t>
      </w:r>
      <w:hyperlink r:id="rId7" w:history="1">
        <w:r>
          <w:rPr>
            <w:rStyle w:val="Hyperlink"/>
            <w:rFonts w:cstheme="minorHAnsi"/>
            <w:lang w:val="it-IT"/>
          </w:rPr>
          <w:t>paolo.micozzi</w:t>
        </w:r>
        <w:r w:rsidRPr="00F2082B">
          <w:rPr>
            <w:rStyle w:val="Hyperlink"/>
            <w:rFonts w:cstheme="minorHAnsi"/>
            <w:lang w:val="it-IT"/>
          </w:rPr>
          <w:t>@enea.it)</w:t>
        </w:r>
      </w:hyperlink>
    </w:p>
    <w:p w14:paraId="18D0577C" w14:textId="77777777" w:rsidR="00214A96" w:rsidRDefault="00214A96" w:rsidP="00214A96">
      <w:pPr>
        <w:rPr>
          <w:rFonts w:cstheme="minorHAnsi"/>
          <w:lang w:val="it-IT"/>
        </w:rPr>
      </w:pPr>
    </w:p>
    <w:p w14:paraId="38DA4B69" w14:textId="448F49D9" w:rsidR="00214A96" w:rsidRPr="00214A96" w:rsidRDefault="00214A96" w:rsidP="00214A96">
      <w:pPr>
        <w:spacing w:line="200" w:lineRule="atLeast"/>
        <w:rPr>
          <w:rFonts w:cstheme="minorHAnsi"/>
        </w:rPr>
      </w:pPr>
      <w:r w:rsidRPr="00214A96">
        <w:rPr>
          <w:rFonts w:cstheme="minorHAnsi"/>
        </w:rPr>
        <w:t>The PROTO-SPHERA experiment is based upon a new magnetic confinement scheme, which aims at</w:t>
      </w:r>
      <w:r w:rsidR="001F24EF">
        <w:rPr>
          <w:rFonts w:cstheme="minorHAnsi"/>
        </w:rPr>
        <w:t xml:space="preserve"> </w:t>
      </w:r>
      <w:r w:rsidRPr="00214A96">
        <w:rPr>
          <w:rFonts w:cstheme="minorHAnsi"/>
        </w:rPr>
        <w:t>producing – in its Phase-2 – a Spherical Torus (with I</w:t>
      </w:r>
      <w:r w:rsidRPr="00214A96">
        <w:rPr>
          <w:rFonts w:cstheme="minorHAnsi"/>
          <w:vertAlign w:val="subscript"/>
        </w:rPr>
        <w:t>ST</w:t>
      </w:r>
      <w:r w:rsidRPr="00214A96">
        <w:rPr>
          <w:rFonts w:cstheme="minorHAnsi"/>
        </w:rPr>
        <w:t xml:space="preserve">≤300 kA) around a Plasma Centerpost (a Screw Pinch with </w:t>
      </w:r>
      <w:r w:rsidRPr="00914E06">
        <w:rPr>
          <w:rFonts w:cstheme="minorHAnsi"/>
        </w:rPr>
        <w:t>I</w:t>
      </w:r>
      <w:r w:rsidRPr="00914E06">
        <w:rPr>
          <w:rFonts w:cstheme="minorHAnsi"/>
          <w:vertAlign w:val="subscript"/>
        </w:rPr>
        <w:t>e</w:t>
      </w:r>
      <w:r w:rsidRPr="00214A96">
        <w:rPr>
          <w:rFonts w:cstheme="minorHAnsi"/>
        </w:rPr>
        <w:t>=70 kA) fed by electrodes of annular shape. The torus current is sustained through Helicity Injection</w:t>
      </w:r>
      <w:r w:rsidR="00D208DC">
        <w:rPr>
          <w:rFonts w:cstheme="minorHAnsi"/>
        </w:rPr>
        <w:t xml:space="preserve"> </w:t>
      </w:r>
      <w:r w:rsidRPr="00214A96">
        <w:rPr>
          <w:rFonts w:cstheme="minorHAnsi"/>
        </w:rPr>
        <w:t>from the centerpost; phenomelogical evid</w:t>
      </w:r>
      <w:r w:rsidR="00D208DC">
        <w:rPr>
          <w:rFonts w:cstheme="minorHAnsi"/>
        </w:rPr>
        <w:t>ences suggest the presence of a</w:t>
      </w:r>
      <w:r w:rsidRPr="00214A96">
        <w:rPr>
          <w:rFonts w:cstheme="minorHAnsi"/>
        </w:rPr>
        <w:t xml:space="preserve"> MHD dynamo field lasting for</w:t>
      </w:r>
      <w:r w:rsidR="0020552C">
        <w:rPr>
          <w:rFonts w:cstheme="minorHAnsi"/>
        </w:rPr>
        <w:t xml:space="preserve"> </w:t>
      </w:r>
      <w:r w:rsidRPr="00214A96">
        <w:rPr>
          <w:rFonts w:cstheme="minorHAnsi"/>
        </w:rPr>
        <w:t>periods far greater than the resistive relaxation time.</w:t>
      </w:r>
    </w:p>
    <w:p w14:paraId="298BDCED" w14:textId="77777777" w:rsidR="00214A96" w:rsidRPr="00214A96" w:rsidRDefault="00214A96" w:rsidP="00214A96">
      <w:pPr>
        <w:spacing w:line="200" w:lineRule="atLeast"/>
        <w:rPr>
          <w:rFonts w:cstheme="minorHAnsi"/>
        </w:rPr>
      </w:pPr>
      <w:r w:rsidRPr="00214A96">
        <w:rPr>
          <w:rFonts w:cstheme="minorHAnsi"/>
        </w:rPr>
        <w:t>In particular, 3D tomographic reconstructions of the visible light emitted by the plasma highlight the presence of a quasi-static closed magnetic domain, which is originated and sustained as a result of the onset of resistive MHD instabilities. These events are not axisymmetric neither in the topology nor in the spatial distribution; moreover, they correlate with saw teeth recorded on the axial/poloidal flux probes and corresponding to magnetic reconnections, in this context known as dynamo relaxation events.</w:t>
      </w:r>
    </w:p>
    <w:p w14:paraId="4A4AA16B" w14:textId="596C6790" w:rsidR="00214A96" w:rsidRPr="00214A96" w:rsidRDefault="00214A96" w:rsidP="00214A96">
      <w:pPr>
        <w:spacing w:line="200" w:lineRule="atLeast"/>
        <w:rPr>
          <w:rFonts w:cstheme="minorHAnsi"/>
        </w:rPr>
      </w:pPr>
      <w:r w:rsidRPr="00214A96">
        <w:rPr>
          <w:rFonts w:cstheme="minorHAnsi"/>
        </w:rPr>
        <w:t>PROTO-SPHERA experiment was inspired by jet-torus configurations which are common around compact</w:t>
      </w:r>
      <w:r w:rsidR="00D208DC">
        <w:rPr>
          <w:rFonts w:cstheme="minorHAnsi"/>
        </w:rPr>
        <w:t xml:space="preserve"> </w:t>
      </w:r>
      <w:r w:rsidRPr="00214A96">
        <w:rPr>
          <w:rFonts w:cstheme="minorHAnsi"/>
        </w:rPr>
        <w:t>objects in astrophysics (i.e. the Pulsar Wind Nebulae) and are described by force-free equilibria. It is worth</w:t>
      </w:r>
      <w:r w:rsidR="00D208DC">
        <w:rPr>
          <w:rFonts w:cstheme="minorHAnsi"/>
        </w:rPr>
        <w:t xml:space="preserve"> </w:t>
      </w:r>
      <w:r w:rsidRPr="00214A96">
        <w:rPr>
          <w:rFonts w:cstheme="minorHAnsi"/>
        </w:rPr>
        <w:t>noting that, unlike other self-organized laboratory plasmas like Spheromaks and RFPs, PROTO-SPHERA</w:t>
      </w:r>
      <w:r w:rsidR="00D208DC">
        <w:rPr>
          <w:rFonts w:cstheme="minorHAnsi"/>
        </w:rPr>
        <w:t xml:space="preserve"> </w:t>
      </w:r>
      <w:r w:rsidRPr="00214A96">
        <w:rPr>
          <w:rFonts w:cstheme="minorHAnsi"/>
        </w:rPr>
        <w:t>lacks a flux conserver and is therefore a better candidate for laboratory astrophysics activity.</w:t>
      </w:r>
    </w:p>
    <w:p w14:paraId="2C1F5047" w14:textId="77777777" w:rsidR="00214A96" w:rsidRPr="00214A96" w:rsidRDefault="00214A96" w:rsidP="00214A96">
      <w:pPr>
        <w:spacing w:line="200" w:lineRule="atLeast"/>
        <w:rPr>
          <w:rFonts w:cstheme="minorHAnsi"/>
        </w:rPr>
      </w:pPr>
      <w:r w:rsidRPr="00214A96">
        <w:rPr>
          <w:rFonts w:cstheme="minorHAnsi"/>
        </w:rPr>
        <w:t>Despite the lack of a flux conserver, PROTO-SPHERA displays ideal MHD stability; furthermore, a significant rotation of plasma in toroidal direction around the centerpost acts as a further stabilizing feature.</w:t>
      </w:r>
    </w:p>
    <w:p w14:paraId="5E40DB4B" w14:textId="4FD10810" w:rsidR="00214A96" w:rsidRPr="00214A96" w:rsidRDefault="00214A96" w:rsidP="00214A96">
      <w:pPr>
        <w:spacing w:line="200" w:lineRule="atLeast"/>
        <w:rPr>
          <w:rFonts w:cstheme="minorHAnsi"/>
        </w:rPr>
      </w:pPr>
      <w:r w:rsidRPr="00214A96">
        <w:rPr>
          <w:rFonts w:cstheme="minorHAnsi"/>
        </w:rPr>
        <w:t>The dynamics of radial helicity transport in an open system is nonetheless not fully understood; in fact, in this operational phase (i.e. I</w:t>
      </w:r>
      <w:r w:rsidRPr="00214A96">
        <w:rPr>
          <w:rFonts w:cstheme="minorHAnsi"/>
          <w:vertAlign w:val="subscript"/>
        </w:rPr>
        <w:t>e</w:t>
      </w:r>
      <w:r w:rsidRPr="00214A96">
        <w:rPr>
          <w:rFonts w:cstheme="minorHAnsi"/>
        </w:rPr>
        <w:t xml:space="preserve">≤10 kA), there is evidence </w:t>
      </w:r>
      <w:r w:rsidR="00516650">
        <w:rPr>
          <w:rFonts w:cstheme="minorHAnsi"/>
        </w:rPr>
        <w:t xml:space="preserve">– when the torus is formed and sustained – </w:t>
      </w:r>
      <w:r w:rsidRPr="00214A96">
        <w:rPr>
          <w:rFonts w:cstheme="minorHAnsi"/>
        </w:rPr>
        <w:t>of an axial current flowing outside the torus</w:t>
      </w:r>
      <w:r w:rsidR="00516650">
        <w:rPr>
          <w:rFonts w:cstheme="minorHAnsi"/>
        </w:rPr>
        <w:t xml:space="preserve"> itself</w:t>
      </w:r>
      <w:r w:rsidRPr="00214A96">
        <w:rPr>
          <w:rFonts w:cstheme="minorHAnsi"/>
        </w:rPr>
        <w:t xml:space="preserve">, </w:t>
      </w:r>
      <w:r w:rsidR="00516650">
        <w:rPr>
          <w:rFonts w:cstheme="minorHAnsi"/>
        </w:rPr>
        <w:t xml:space="preserve">still to be fully </w:t>
      </w:r>
      <w:r w:rsidR="00080910">
        <w:rPr>
          <w:rFonts w:cstheme="minorHAnsi"/>
        </w:rPr>
        <w:t>investigated</w:t>
      </w:r>
      <w:r w:rsidR="00516650">
        <w:rPr>
          <w:rFonts w:cstheme="minorHAnsi"/>
        </w:rPr>
        <w:t xml:space="preserve">, that </w:t>
      </w:r>
      <w:r w:rsidR="00080910">
        <w:rPr>
          <w:rFonts w:cstheme="minorHAnsi"/>
        </w:rPr>
        <w:t>seems to</w:t>
      </w:r>
      <w:r w:rsidR="00516650">
        <w:rPr>
          <w:rFonts w:cstheme="minorHAnsi"/>
        </w:rPr>
        <w:t xml:space="preserve"> allow for the correct helicity flow from the external region with open field lines to the nested flux surfaces of the torus</w:t>
      </w:r>
      <w:r w:rsidR="00080910">
        <w:rPr>
          <w:rFonts w:cstheme="minorHAnsi"/>
        </w:rPr>
        <w:t xml:space="preserve"> also at low I</w:t>
      </w:r>
      <w:r w:rsidR="00080910" w:rsidRPr="00080910">
        <w:rPr>
          <w:rFonts w:cstheme="minorHAnsi"/>
          <w:vertAlign w:val="subscript"/>
        </w:rPr>
        <w:t>e</w:t>
      </w:r>
      <w:r w:rsidR="00080910">
        <w:rPr>
          <w:rFonts w:cstheme="minorHAnsi"/>
        </w:rPr>
        <w:t xml:space="preserve"> level</w:t>
      </w:r>
      <w:r w:rsidRPr="00214A96">
        <w:rPr>
          <w:rFonts w:cstheme="minorHAnsi"/>
        </w:rPr>
        <w:t>.</w:t>
      </w:r>
    </w:p>
    <w:p w14:paraId="2F858113" w14:textId="0C84F425" w:rsidR="00214A96" w:rsidRDefault="00214A96" w:rsidP="00D208DC">
      <w:pPr>
        <w:spacing w:line="200" w:lineRule="atLeast"/>
        <w:rPr>
          <w:rFonts w:cstheme="minorHAnsi"/>
        </w:rPr>
      </w:pPr>
      <w:r w:rsidRPr="00214A96">
        <w:rPr>
          <w:rFonts w:cstheme="minorHAnsi"/>
        </w:rPr>
        <w:t>PROTO-SPHERA experiment is currently undergoing a major upgrade, with the aim of installing a more</w:t>
      </w:r>
      <w:r w:rsidR="00D208DC">
        <w:rPr>
          <w:rFonts w:cstheme="minorHAnsi"/>
        </w:rPr>
        <w:t xml:space="preserve"> </w:t>
      </w:r>
      <w:r w:rsidRPr="00214A96">
        <w:rPr>
          <w:rFonts w:cstheme="minorHAnsi"/>
        </w:rPr>
        <w:t>complete diagnostic set and of addressing the presence of spurious current loops. An improved diagnostics coverage will be required for kinetic measurements and for magnetic topology reconstruction during Phase-2</w:t>
      </w:r>
      <w:r w:rsidR="00D208DC">
        <w:rPr>
          <w:rFonts w:cstheme="minorHAnsi"/>
        </w:rPr>
        <w:t xml:space="preserve"> </w:t>
      </w:r>
      <w:r w:rsidRPr="00214A96">
        <w:rPr>
          <w:rFonts w:cstheme="minorHAnsi"/>
        </w:rPr>
        <w:t>(with full currents); in this phase, energy confinement q</w:t>
      </w:r>
      <w:bookmarkStart w:id="0" w:name="_GoBack"/>
      <w:bookmarkEnd w:id="0"/>
      <w:r w:rsidRPr="00214A96">
        <w:rPr>
          <w:rFonts w:cstheme="minorHAnsi"/>
        </w:rPr>
        <w:t>uality inside the torus will be addressed, in view of a</w:t>
      </w:r>
      <w:r w:rsidR="00D208DC">
        <w:rPr>
          <w:rFonts w:cstheme="minorHAnsi"/>
        </w:rPr>
        <w:t xml:space="preserve"> </w:t>
      </w:r>
      <w:r w:rsidRPr="00214A96">
        <w:rPr>
          <w:rFonts w:cstheme="minorHAnsi"/>
        </w:rPr>
        <w:t>possible application of this new configuration to magnetic fusion.</w:t>
      </w:r>
    </w:p>
    <w:p w14:paraId="671598B4" w14:textId="1E4E2A3D" w:rsidR="001E25D7" w:rsidRPr="00D208DC" w:rsidRDefault="001E25D7" w:rsidP="00D208DC">
      <w:pPr>
        <w:spacing w:line="200" w:lineRule="atLeast"/>
        <w:rPr>
          <w:rFonts w:cstheme="minorHAnsi"/>
        </w:rPr>
      </w:pPr>
      <w:r>
        <w:rPr>
          <w:rFonts w:cstheme="minorHAnsi"/>
        </w:rPr>
        <w:t xml:space="preserve">In fact, if the </w:t>
      </w:r>
      <w:r w:rsidRPr="00214A96">
        <w:rPr>
          <w:rFonts w:cstheme="minorHAnsi"/>
        </w:rPr>
        <w:t>energy confinement</w:t>
      </w:r>
      <w:r>
        <w:rPr>
          <w:rFonts w:cstheme="minorHAnsi"/>
        </w:rPr>
        <w:t xml:space="preserve"> shall be of good quality many problems that affect the standard Tokam</w:t>
      </w:r>
      <w:r w:rsidR="00080910">
        <w:rPr>
          <w:rFonts w:cstheme="minorHAnsi"/>
        </w:rPr>
        <w:t>ak configuration could be solved.</w:t>
      </w:r>
      <w:r w:rsidR="003B2A01">
        <w:rPr>
          <w:rFonts w:cstheme="minorHAnsi"/>
        </w:rPr>
        <w:t xml:space="preserve"> </w:t>
      </w:r>
      <w:r w:rsidR="00080910">
        <w:rPr>
          <w:rFonts w:cstheme="minorHAnsi"/>
        </w:rPr>
        <w:t>I</w:t>
      </w:r>
      <w:r w:rsidR="003B2A01">
        <w:rPr>
          <w:rFonts w:cstheme="minorHAnsi"/>
        </w:rPr>
        <w:t xml:space="preserve">n particular </w:t>
      </w:r>
      <w:r w:rsidR="00080910">
        <w:rPr>
          <w:rFonts w:cstheme="minorHAnsi"/>
        </w:rPr>
        <w:t xml:space="preserve">this kind of magnetic configuration is </w:t>
      </w:r>
      <w:r w:rsidR="00A53306">
        <w:rPr>
          <w:rFonts w:cstheme="minorHAnsi"/>
        </w:rPr>
        <w:t>intrinsically</w:t>
      </w:r>
      <w:r w:rsidR="00080910">
        <w:rPr>
          <w:rFonts w:cstheme="minorHAnsi"/>
        </w:rPr>
        <w:t xml:space="preserve"> stationary (due to the </w:t>
      </w:r>
      <w:r w:rsidR="00A912DD">
        <w:rPr>
          <w:rFonts w:cstheme="minorHAnsi"/>
        </w:rPr>
        <w:t>H</w:t>
      </w:r>
      <w:r w:rsidR="00080910">
        <w:rPr>
          <w:rFonts w:cstheme="minorHAnsi"/>
        </w:rPr>
        <w:t xml:space="preserve">elicity </w:t>
      </w:r>
      <w:r w:rsidR="00A912DD">
        <w:rPr>
          <w:rFonts w:cstheme="minorHAnsi"/>
        </w:rPr>
        <w:t>I</w:t>
      </w:r>
      <w:r w:rsidR="00080910">
        <w:rPr>
          <w:rFonts w:cstheme="minorHAnsi"/>
        </w:rPr>
        <w:t>njection from the screw pinch to the torus), does not need any additional heating system and is disruption free.</w:t>
      </w:r>
    </w:p>
    <w:sectPr w:rsidR="001E25D7" w:rsidRPr="00D208DC" w:rsidSect="009E07D1">
      <w:headerReference w:type="default" r:id="rId8"/>
      <w:footerReference w:type="even" r:id="rId9"/>
      <w:footerReference w:type="default" r:id="rId10"/>
      <w:pgSz w:w="11904" w:h="16836"/>
      <w:pgMar w:top="1440" w:right="1797" w:bottom="1440" w:left="1797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02B880" w14:textId="77777777" w:rsidR="00ED7E0D" w:rsidRDefault="00ED7E0D">
      <w:r>
        <w:separator/>
      </w:r>
    </w:p>
  </w:endnote>
  <w:endnote w:type="continuationSeparator" w:id="0">
    <w:p w14:paraId="669EDBFA" w14:textId="77777777" w:rsidR="00ED7E0D" w:rsidRDefault="00ED7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78270" w14:textId="77777777" w:rsidR="00E51FBB" w:rsidRDefault="00287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33C73E" w14:textId="77777777" w:rsidR="00E51FBB" w:rsidRDefault="00ED7E0D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7E511" w14:textId="77777777" w:rsidR="00E51FBB" w:rsidRDefault="00287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7E0D">
      <w:rPr>
        <w:rStyle w:val="PageNumber"/>
        <w:noProof/>
      </w:rPr>
      <w:t>1</w:t>
    </w:r>
    <w:r>
      <w:rPr>
        <w:rStyle w:val="PageNumber"/>
      </w:rPr>
      <w:fldChar w:fldCharType="end"/>
    </w:r>
  </w:p>
  <w:p w14:paraId="361BC865" w14:textId="77777777" w:rsidR="00287244" w:rsidRDefault="0028724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B6174" w14:textId="77777777" w:rsidR="00ED7E0D" w:rsidRDefault="00ED7E0D">
      <w:r>
        <w:separator/>
      </w:r>
    </w:p>
  </w:footnote>
  <w:footnote w:type="continuationSeparator" w:id="0">
    <w:p w14:paraId="31AC7EFC" w14:textId="77777777" w:rsidR="00ED7E0D" w:rsidRDefault="00ED7E0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BC887B" w14:textId="77777777" w:rsidR="00E51FBB" w:rsidRDefault="00ED7E0D" w:rsidP="00E51FB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501B5"/>
    <w:multiLevelType w:val="singleLevel"/>
    <w:tmpl w:val="6374CE9A"/>
    <w:lvl w:ilvl="0">
      <w:start w:val="1"/>
      <w:numFmt w:val="decimal"/>
      <w:lvlText w:val="[%1]"/>
      <w:legacy w:legacy="1" w:legacySpace="0" w:legacyIndent="567"/>
      <w:lvlJc w:val="left"/>
      <w:pPr>
        <w:ind w:left="567" w:hanging="567"/>
      </w:pPr>
    </w:lvl>
  </w:abstractNum>
  <w:abstractNum w:abstractNumId="1">
    <w:nsid w:val="1A1A08F4"/>
    <w:multiLevelType w:val="hybridMultilevel"/>
    <w:tmpl w:val="78224818"/>
    <w:lvl w:ilvl="0" w:tplc="CF12BDF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218B7C24"/>
    <w:multiLevelType w:val="hybridMultilevel"/>
    <w:tmpl w:val="BB2E7064"/>
    <w:lvl w:ilvl="0" w:tplc="94E02292">
      <w:start w:val="1"/>
      <w:numFmt w:val="lowerRoman"/>
      <w:lvlText w:val="%1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31373C69"/>
    <w:multiLevelType w:val="hybridMultilevel"/>
    <w:tmpl w:val="FD9AB6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4726B5"/>
    <w:multiLevelType w:val="hybridMultilevel"/>
    <w:tmpl w:val="997EE1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B22DA3"/>
    <w:multiLevelType w:val="hybridMultilevel"/>
    <w:tmpl w:val="00448A4E"/>
    <w:lvl w:ilvl="0" w:tplc="3B94995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B217D7B"/>
    <w:multiLevelType w:val="hybridMultilevel"/>
    <w:tmpl w:val="9B323836"/>
    <w:lvl w:ilvl="0" w:tplc="B0584022">
      <w:start w:val="1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lvl w:ilvl="0">
        <w:start w:val="3"/>
        <w:numFmt w:val="decimal"/>
        <w:lvlText w:val="[%1]"/>
        <w:legacy w:legacy="1" w:legacySpace="0" w:legacyIndent="567"/>
        <w:lvlJc w:val="left"/>
        <w:pPr>
          <w:ind w:left="567" w:hanging="567"/>
        </w:pPr>
      </w:lvl>
    </w:lvlOverride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3"/>
  <w:embedSystemFonts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A96"/>
    <w:rsid w:val="00080910"/>
    <w:rsid w:val="001A7849"/>
    <w:rsid w:val="001E25D7"/>
    <w:rsid w:val="001F24EF"/>
    <w:rsid w:val="0020552C"/>
    <w:rsid w:val="00214A96"/>
    <w:rsid w:val="00287244"/>
    <w:rsid w:val="00391B2E"/>
    <w:rsid w:val="003B2A01"/>
    <w:rsid w:val="004209D6"/>
    <w:rsid w:val="0051403E"/>
    <w:rsid w:val="00516650"/>
    <w:rsid w:val="006D7158"/>
    <w:rsid w:val="00914E06"/>
    <w:rsid w:val="00A53306"/>
    <w:rsid w:val="00A912DD"/>
    <w:rsid w:val="00AA4827"/>
    <w:rsid w:val="00D208DC"/>
    <w:rsid w:val="00ED7E0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FC03D8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14A96"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954923"/>
    <w:pPr>
      <w:keepNext/>
      <w:spacing w:line="360" w:lineRule="auto"/>
      <w:outlineLvl w:val="0"/>
    </w:pPr>
    <w:rPr>
      <w:rFonts w:ascii="Times New Roman" w:eastAsia="Times New Roman" w:hAnsi="Times New Roman"/>
      <w:b/>
    </w:rPr>
  </w:style>
  <w:style w:type="paragraph" w:styleId="Heading3">
    <w:name w:val="heading 3"/>
    <w:basedOn w:val="Normal"/>
    <w:next w:val="Normal"/>
    <w:link w:val="Heading3Char"/>
    <w:qFormat/>
    <w:rsid w:val="00954923"/>
    <w:pPr>
      <w:keepNext/>
      <w:spacing w:before="240" w:after="60"/>
      <w:outlineLvl w:val="2"/>
    </w:pPr>
    <w:rPr>
      <w:rFonts w:ascii="Helvetica" w:hAnsi="Helvetica"/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4923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54923"/>
    <w:rPr>
      <w:rFonts w:ascii="Helvetica" w:eastAsia="Times" w:hAnsi="Helvetica"/>
      <w:b/>
      <w:sz w:val="26"/>
      <w:szCs w:val="24"/>
    </w:rPr>
  </w:style>
  <w:style w:type="paragraph" w:styleId="BodyText">
    <w:name w:val="Body Text"/>
    <w:basedOn w:val="Normal"/>
    <w:link w:val="BodyTextChar"/>
    <w:rsid w:val="00460E5D"/>
    <w:pPr>
      <w:autoSpaceDE w:val="0"/>
      <w:autoSpaceDN w:val="0"/>
      <w:adjustRightInd w:val="0"/>
    </w:pPr>
    <w:rPr>
      <w:rFonts w:ascii="Times New Roman" w:eastAsia="Times New Roman" w:hAnsi="Times New Roman"/>
      <w:b/>
    </w:rPr>
  </w:style>
  <w:style w:type="character" w:customStyle="1" w:styleId="BodyTextChar">
    <w:name w:val="Body Text Char"/>
    <w:basedOn w:val="DefaultParagraphFont"/>
    <w:link w:val="BodyText"/>
    <w:rsid w:val="00460E5D"/>
    <w:rPr>
      <w:rFonts w:ascii="Times New Roman" w:eastAsia="Times New Roman" w:hAnsi="Times New Roman" w:cs="Times New Roman"/>
      <w:b/>
      <w:sz w:val="24"/>
    </w:rPr>
  </w:style>
  <w:style w:type="paragraph" w:styleId="BodyTextIndent">
    <w:name w:val="Body Text Indent"/>
    <w:basedOn w:val="Normal"/>
    <w:link w:val="BodyTextIndentChar"/>
    <w:rsid w:val="00460E5D"/>
    <w:pPr>
      <w:spacing w:line="360" w:lineRule="auto"/>
      <w:ind w:firstLine="720"/>
    </w:pPr>
    <w:rPr>
      <w:rFonts w:ascii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460E5D"/>
    <w:rPr>
      <w:rFonts w:ascii="Times New Roman" w:eastAsia="Times" w:hAnsi="Times New Roman" w:cs="Times New Roman"/>
      <w:sz w:val="24"/>
    </w:rPr>
  </w:style>
  <w:style w:type="paragraph" w:styleId="Footer">
    <w:name w:val="footer"/>
    <w:basedOn w:val="Normal"/>
    <w:link w:val="FooterChar"/>
    <w:rsid w:val="00460E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60E5D"/>
    <w:rPr>
      <w:rFonts w:ascii="Times" w:eastAsia="Times" w:hAnsi="Times" w:cs="Times New Roman"/>
      <w:sz w:val="24"/>
    </w:rPr>
  </w:style>
  <w:style w:type="character" w:styleId="PageNumber">
    <w:name w:val="page number"/>
    <w:basedOn w:val="DefaultParagraphFont"/>
    <w:rsid w:val="00460E5D"/>
  </w:style>
  <w:style w:type="paragraph" w:styleId="Header">
    <w:name w:val="header"/>
    <w:basedOn w:val="Normal"/>
    <w:link w:val="HeaderChar"/>
    <w:unhideWhenUsed/>
    <w:rsid w:val="00460E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60E5D"/>
    <w:rPr>
      <w:rFonts w:ascii="Times" w:eastAsia="Times" w:hAnsi="Times" w:cs="Times New Roman"/>
      <w:sz w:val="24"/>
    </w:rPr>
  </w:style>
  <w:style w:type="paragraph" w:styleId="Title">
    <w:name w:val="Title"/>
    <w:basedOn w:val="Normal"/>
    <w:link w:val="TitleChar"/>
    <w:qFormat/>
    <w:rsid w:val="00954923"/>
    <w:pPr>
      <w:jc w:val="center"/>
    </w:pPr>
    <w:rPr>
      <w:rFonts w:ascii="Times New Roman" w:hAnsi="Times New Roman"/>
      <w:b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954923"/>
    <w:rPr>
      <w:rFonts w:eastAsia="Times"/>
      <w:b/>
      <w:sz w:val="28"/>
      <w:szCs w:val="24"/>
      <w:lang w:val="en-GB"/>
    </w:rPr>
  </w:style>
  <w:style w:type="character" w:styleId="Hyperlink">
    <w:name w:val="Hyperlink"/>
    <w:basedOn w:val="DefaultParagraphFont"/>
    <w:rsid w:val="00954923"/>
    <w:rPr>
      <w:color w:val="0000FF"/>
      <w:sz w:val="24"/>
      <w:u w:val="single"/>
    </w:rPr>
  </w:style>
  <w:style w:type="character" w:styleId="FootnoteReference">
    <w:name w:val="footnote reference"/>
    <w:basedOn w:val="DefaultParagraphFont"/>
    <w:rsid w:val="00954923"/>
    <w:rPr>
      <w:vertAlign w:val="superscript"/>
    </w:rPr>
  </w:style>
  <w:style w:type="paragraph" w:styleId="CommentText">
    <w:name w:val="annotation text"/>
    <w:basedOn w:val="Normal"/>
    <w:link w:val="CommentTextChar"/>
    <w:unhideWhenUsed/>
    <w:rsid w:val="00954923"/>
    <w:rPr>
      <w:rFonts w:ascii="Times New Roman" w:eastAsia="Times New Roman" w:hAnsi="Times New Roman"/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954923"/>
    <w:rPr>
      <w:szCs w:val="24"/>
      <w:lang w:val="en-GB"/>
    </w:rPr>
  </w:style>
  <w:style w:type="paragraph" w:styleId="Caption">
    <w:name w:val="caption"/>
    <w:basedOn w:val="Normal"/>
    <w:next w:val="Normal"/>
    <w:qFormat/>
    <w:rsid w:val="00954923"/>
    <w:rPr>
      <w:rFonts w:ascii="Times New Roman" w:hAnsi="Times New Roman"/>
      <w:i/>
      <w:sz w:val="22"/>
      <w:lang w:val="en-GB"/>
    </w:rPr>
  </w:style>
  <w:style w:type="paragraph" w:styleId="NormalWeb">
    <w:name w:val="Normal (Web)"/>
    <w:basedOn w:val="Normal"/>
    <w:rsid w:val="0095492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</w:rPr>
  </w:style>
  <w:style w:type="paragraph" w:customStyle="1" w:styleId="symbol">
    <w:name w:val="symbol"/>
    <w:basedOn w:val="Normal"/>
    <w:rsid w:val="00954923"/>
    <w:pPr>
      <w:spacing w:line="480" w:lineRule="atLeast"/>
    </w:pPr>
    <w:rPr>
      <w:rFonts w:eastAsia="Times New Roman"/>
    </w:rPr>
  </w:style>
  <w:style w:type="paragraph" w:styleId="FootnoteText">
    <w:name w:val="footnote text"/>
    <w:basedOn w:val="Normal"/>
    <w:link w:val="FootnoteTextChar"/>
    <w:rsid w:val="00954923"/>
    <w:rPr>
      <w:rFonts w:eastAsia="Times New Roman"/>
      <w:sz w:val="20"/>
    </w:rPr>
  </w:style>
  <w:style w:type="character" w:customStyle="1" w:styleId="FootnoteTextChar">
    <w:name w:val="Footnote Text Char"/>
    <w:basedOn w:val="DefaultParagraphFont"/>
    <w:link w:val="FootnoteText"/>
    <w:rsid w:val="00954923"/>
    <w:rPr>
      <w:rFonts w:ascii="Times" w:hAnsi="Times"/>
      <w:szCs w:val="24"/>
    </w:rPr>
  </w:style>
  <w:style w:type="paragraph" w:styleId="BodyTextIndent2">
    <w:name w:val="Body Text Indent 2"/>
    <w:basedOn w:val="Normal"/>
    <w:link w:val="BodyTextIndent2Char"/>
    <w:rsid w:val="00954923"/>
    <w:pPr>
      <w:ind w:left="1440" w:hanging="1440"/>
    </w:pPr>
    <w:rPr>
      <w:rFonts w:ascii="Times New Roman" w:eastAsia="Times New Roman" w:hAnsi="Times New Roman"/>
    </w:rPr>
  </w:style>
  <w:style w:type="character" w:customStyle="1" w:styleId="BodyTextIndent2Char">
    <w:name w:val="Body Text Indent 2 Char"/>
    <w:basedOn w:val="DefaultParagraphFont"/>
    <w:link w:val="BodyTextIndent2"/>
    <w:rsid w:val="00954923"/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semiHidden/>
    <w:rsid w:val="00954923"/>
    <w:rPr>
      <w:b/>
      <w:bCs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54923"/>
    <w:rPr>
      <w:b/>
      <w:bCs/>
    </w:rPr>
  </w:style>
  <w:style w:type="character" w:customStyle="1" w:styleId="BalloonTextChar">
    <w:name w:val="Balloon Text Char"/>
    <w:basedOn w:val="DefaultParagraphFont"/>
    <w:link w:val="BalloonText"/>
    <w:semiHidden/>
    <w:rsid w:val="00954923"/>
    <w:rPr>
      <w:rFonts w:ascii="Tahoma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95492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alessandro.fassina@enea.it)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olomic/Library/Group%20Containers/UBF8T346G9.Office/User%20Content.localized/Templates.localized/In_Progres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In_Progress.dotm</Template>
  <TotalTime>30</TotalTime>
  <Pages>1</Pages>
  <Words>470</Words>
  <Characters>2684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Euratom-ENEA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14</cp:revision>
  <dcterms:created xsi:type="dcterms:W3CDTF">2025-10-23T08:45:00Z</dcterms:created>
  <dcterms:modified xsi:type="dcterms:W3CDTF">2025-11-04T09:29:00Z</dcterms:modified>
</cp:coreProperties>
</file>