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F4587C" w14:textId="7520E6C4" w:rsidR="00112F5B" w:rsidRPr="008614EA" w:rsidRDefault="60D7DA2A" w:rsidP="3F9D437D">
      <w:pPr>
        <w:snapToGrid w:val="0"/>
        <w:spacing w:line="180" w:lineRule="atLeast"/>
        <w:jc w:val="center"/>
        <w:rPr>
          <w:rFonts w:ascii="Times" w:hAnsi="Times"/>
          <w:b/>
          <w:bCs/>
          <w:sz w:val="28"/>
          <w:szCs w:val="28"/>
        </w:rPr>
      </w:pPr>
      <w:r w:rsidRPr="3F9D437D">
        <w:rPr>
          <w:rFonts w:ascii="Times" w:hAnsi="Times"/>
          <w:b/>
          <w:bCs/>
          <w:sz w:val="28"/>
          <w:szCs w:val="28"/>
        </w:rPr>
        <w:t>PROTO-SPHERA, a MHD configuration formed and sustained by magnetic reconnections</w:t>
      </w:r>
    </w:p>
    <w:p w14:paraId="5E580D73" w14:textId="03DD2EA0" w:rsidR="00FE40BA" w:rsidRPr="00CF39F1" w:rsidRDefault="111897B7" w:rsidP="3F9D437D">
      <w:pPr>
        <w:snapToGrid w:val="0"/>
        <w:spacing w:line="180" w:lineRule="atLeast"/>
        <w:jc w:val="center"/>
        <w:rPr>
          <w:rFonts w:ascii="Times" w:hAnsi="Times"/>
          <w:sz w:val="20"/>
          <w:szCs w:val="20"/>
        </w:rPr>
      </w:pPr>
      <w:r w:rsidRPr="3F9D437D">
        <w:rPr>
          <w:rFonts w:ascii="Times" w:hAnsi="Times"/>
        </w:rPr>
        <w:t>Fassina A.</w:t>
      </w:r>
      <w:r w:rsidRPr="3F9D437D">
        <w:rPr>
          <w:rFonts w:ascii="Times" w:hAnsi="Times"/>
          <w:vertAlign w:val="superscript"/>
        </w:rPr>
        <w:t>1</w:t>
      </w:r>
      <w:r w:rsidRPr="3F9D437D">
        <w:rPr>
          <w:rFonts w:ascii="Times" w:hAnsi="Times"/>
        </w:rPr>
        <w:t>, Micozzi P.</w:t>
      </w:r>
      <w:r w:rsidRPr="3F9D437D">
        <w:rPr>
          <w:rFonts w:ascii="Times" w:hAnsi="Times"/>
          <w:vertAlign w:val="superscript"/>
        </w:rPr>
        <w:t>1</w:t>
      </w:r>
      <w:r w:rsidRPr="3F9D437D">
        <w:rPr>
          <w:rFonts w:ascii="Times" w:hAnsi="Times"/>
        </w:rPr>
        <w:t>, Alladio F.</w:t>
      </w:r>
      <w:r w:rsidRPr="3F9D437D">
        <w:rPr>
          <w:rFonts w:ascii="Times" w:hAnsi="Times"/>
          <w:vertAlign w:val="superscript"/>
        </w:rPr>
        <w:t>2</w:t>
      </w:r>
      <w:r w:rsidRPr="3F9D437D">
        <w:rPr>
          <w:rFonts w:ascii="Times" w:hAnsi="Times"/>
        </w:rPr>
        <w:t>, and PROTO-SPHERA Group</w:t>
      </w:r>
    </w:p>
    <w:p w14:paraId="65B8F184" w14:textId="194CA51B" w:rsidR="00AC44B4" w:rsidRDefault="00CF39F1" w:rsidP="3F9D437D">
      <w:pPr>
        <w:snapToGrid w:val="0"/>
        <w:spacing w:line="180" w:lineRule="atLeast"/>
        <w:jc w:val="center"/>
        <w:rPr>
          <w:rFonts w:ascii="Times" w:hAnsi="Times"/>
        </w:rPr>
      </w:pPr>
      <w:r w:rsidRPr="3F9D437D">
        <w:rPr>
          <w:rFonts w:ascii="Times" w:hAnsi="Times"/>
          <w:vertAlign w:val="superscript"/>
        </w:rPr>
        <w:t>1</w:t>
      </w:r>
      <w:r w:rsidRPr="3F9D437D">
        <w:rPr>
          <w:rFonts w:ascii="Times" w:hAnsi="Times"/>
        </w:rPr>
        <w:t xml:space="preserve"> </w:t>
      </w:r>
      <w:r w:rsidR="20D6A1B8" w:rsidRPr="3F9D437D">
        <w:rPr>
          <w:rFonts w:ascii="Times" w:hAnsi="Times"/>
        </w:rPr>
        <w:t xml:space="preserve">ENEA, CR Frascati, </w:t>
      </w:r>
      <w:r w:rsidR="35EDE71A" w:rsidRPr="3F9D437D">
        <w:rPr>
          <w:rFonts w:ascii="Times" w:hAnsi="Times"/>
        </w:rPr>
        <w:t>Via Enrico Fermi, 45</w:t>
      </w:r>
    </w:p>
    <w:p w14:paraId="479024A9" w14:textId="42DB1F19" w:rsidR="00AC44B4" w:rsidRDefault="35EDE71A" w:rsidP="3F9D437D">
      <w:pPr>
        <w:snapToGrid w:val="0"/>
        <w:spacing w:line="180" w:lineRule="atLeast"/>
        <w:jc w:val="center"/>
        <w:rPr>
          <w:rFonts w:ascii="Times" w:hAnsi="Times"/>
          <w:lang w:val="it-IT"/>
        </w:rPr>
      </w:pPr>
      <w:r w:rsidRPr="3F9D437D">
        <w:rPr>
          <w:rFonts w:ascii="Times" w:hAnsi="Times"/>
          <w:lang w:val="it-IT"/>
        </w:rPr>
        <w:t>00044 Frascati (Roma</w:t>
      </w:r>
      <w:r w:rsidR="2FEFBE3B" w:rsidRPr="3F9D437D">
        <w:rPr>
          <w:rFonts w:ascii="Times" w:hAnsi="Times"/>
          <w:lang w:val="it-IT"/>
        </w:rPr>
        <w:t>),</w:t>
      </w:r>
      <w:r w:rsidR="2FEFBE3B" w:rsidRPr="3F9D437D">
        <w:rPr>
          <w:rFonts w:ascii="Times" w:hAnsi="Times"/>
          <w:vertAlign w:val="superscript"/>
          <w:lang w:val="it-IT"/>
        </w:rPr>
        <w:t xml:space="preserve"> 2</w:t>
      </w:r>
      <w:r w:rsidR="00CF39F1" w:rsidRPr="3F9D437D">
        <w:rPr>
          <w:rFonts w:ascii="Times" w:hAnsi="Times"/>
          <w:lang w:val="it-IT"/>
        </w:rPr>
        <w:t xml:space="preserve"> </w:t>
      </w:r>
      <w:r w:rsidR="00ED4F91" w:rsidRPr="00ED4F91">
        <w:rPr>
          <w:rFonts w:ascii="Times" w:hAnsi="Times" w:cs="TimesLTStd-Roman-Identity-H"/>
          <w:kern w:val="0"/>
          <w:highlight w:val="yellow"/>
        </w:rPr>
        <w:t>INAF—IAPS, Via Fosso del Cavaliere 100, 0133, Rome, Italy</w:t>
      </w:r>
    </w:p>
    <w:p w14:paraId="77A78119" w14:textId="3900E830" w:rsidR="00AC44B4" w:rsidRDefault="00AC44B4" w:rsidP="3F9D437D">
      <w:pPr>
        <w:snapToGrid w:val="0"/>
        <w:spacing w:line="180" w:lineRule="atLeast"/>
        <w:jc w:val="center"/>
        <w:rPr>
          <w:rFonts w:ascii="Times" w:hAnsi="Times"/>
          <w:lang w:val="it-IT"/>
        </w:rPr>
      </w:pPr>
      <w:r w:rsidRPr="3F9D437D">
        <w:rPr>
          <w:rFonts w:ascii="Times" w:hAnsi="Times"/>
          <w:lang w:val="it-IT"/>
        </w:rPr>
        <w:t>e-mail (</w:t>
      </w:r>
      <w:r w:rsidR="12584038" w:rsidRPr="3F9D437D">
        <w:rPr>
          <w:rFonts w:ascii="Times" w:hAnsi="Times"/>
          <w:lang w:val="it-IT"/>
        </w:rPr>
        <w:t>alessandro.fassina@enea.it</w:t>
      </w:r>
      <w:r w:rsidRPr="3F9D437D">
        <w:rPr>
          <w:rFonts w:ascii="Times" w:hAnsi="Times"/>
          <w:lang w:val="it-IT"/>
        </w:rPr>
        <w:t>):</w:t>
      </w:r>
    </w:p>
    <w:p w14:paraId="4808F58F" w14:textId="77777777" w:rsidR="001A185C" w:rsidRDefault="001A185C" w:rsidP="002968D7">
      <w:pPr>
        <w:snapToGrid w:val="0"/>
        <w:spacing w:line="180" w:lineRule="atLeast"/>
        <w:jc w:val="center"/>
        <w:rPr>
          <w:rFonts w:ascii="Times" w:hAnsi="Times"/>
        </w:rPr>
      </w:pPr>
    </w:p>
    <w:p w14:paraId="1AC14232" w14:textId="77777777" w:rsidR="001A185C" w:rsidRDefault="001A185C" w:rsidP="002968D7">
      <w:pPr>
        <w:snapToGrid w:val="0"/>
        <w:spacing w:line="180" w:lineRule="atLeast"/>
        <w:jc w:val="center"/>
        <w:rPr>
          <w:rFonts w:ascii="Times" w:hAnsi="Times"/>
        </w:rPr>
      </w:pPr>
    </w:p>
    <w:p w14:paraId="42BECCDB" w14:textId="77777777" w:rsidR="00B95C68" w:rsidRDefault="00B95C68" w:rsidP="002968D7">
      <w:pPr>
        <w:snapToGrid w:val="0"/>
        <w:spacing w:line="180" w:lineRule="atLeast"/>
        <w:jc w:val="center"/>
        <w:rPr>
          <w:rFonts w:ascii="Times" w:hAnsi="Times"/>
        </w:rPr>
        <w:sectPr w:rsidR="00B95C68" w:rsidSect="00622E30">
          <w:headerReference w:type="default" r:id="rId9"/>
          <w:pgSz w:w="11900" w:h="16840"/>
          <w:pgMar w:top="1418" w:right="1134" w:bottom="1134" w:left="1134" w:header="851" w:footer="992" w:gutter="0"/>
          <w:cols w:space="425"/>
          <w:docGrid w:type="lines" w:linePitch="400"/>
        </w:sectPr>
      </w:pPr>
    </w:p>
    <w:p w14:paraId="4B3007D7" w14:textId="6127018B" w:rsidR="63BB6009" w:rsidRDefault="63BB6009" w:rsidP="3F9D437D">
      <w:pPr>
        <w:spacing w:line="200" w:lineRule="atLeast"/>
        <w:jc w:val="left"/>
        <w:rPr>
          <w:rFonts w:ascii="Times" w:hAnsi="Times"/>
          <w:sz w:val="20"/>
          <w:szCs w:val="20"/>
        </w:rPr>
      </w:pPr>
      <w:r w:rsidRPr="3F9D437D">
        <w:rPr>
          <w:rFonts w:ascii="Times" w:hAnsi="Times"/>
          <w:sz w:val="20"/>
          <w:szCs w:val="20"/>
        </w:rPr>
        <w:lastRenderedPageBreak/>
        <w:t>The PROTO-SPHERA experiment is based upon a new magnetic confinement scheme, which aims at</w:t>
      </w:r>
      <w:bookmarkStart w:id="0" w:name="_GoBack"/>
      <w:bookmarkEnd w:id="0"/>
    </w:p>
    <w:p w14:paraId="2D3F274A" w14:textId="6FC0528C" w:rsidR="63BB6009" w:rsidRDefault="63BB6009" w:rsidP="7EF52620">
      <w:pPr>
        <w:spacing w:line="200" w:lineRule="atLeast"/>
        <w:jc w:val="left"/>
      </w:pPr>
      <w:r w:rsidRPr="3F9D437D">
        <w:rPr>
          <w:rFonts w:ascii="Times" w:hAnsi="Times"/>
          <w:sz w:val="20"/>
          <w:szCs w:val="20"/>
        </w:rPr>
        <w:t>producing – in its Phase-2 – a Spherical Torus (with I</w:t>
      </w:r>
      <w:r w:rsidRPr="3F9D437D">
        <w:rPr>
          <w:rFonts w:ascii="Times" w:hAnsi="Times"/>
          <w:sz w:val="20"/>
          <w:szCs w:val="20"/>
          <w:vertAlign w:val="subscript"/>
        </w:rPr>
        <w:t>ST</w:t>
      </w:r>
      <w:r w:rsidRPr="3F9D437D">
        <w:rPr>
          <w:rFonts w:ascii="Times" w:hAnsi="Times"/>
          <w:sz w:val="20"/>
          <w:szCs w:val="20"/>
        </w:rPr>
        <w:t>≤300 kA) around a Plasma Centerpost (a Screw Pinch</w:t>
      </w:r>
      <w:r w:rsidR="47D5F211" w:rsidRPr="3F9D437D">
        <w:rPr>
          <w:rFonts w:ascii="Times" w:hAnsi="Times"/>
          <w:sz w:val="20"/>
          <w:szCs w:val="20"/>
        </w:rPr>
        <w:t xml:space="preserve"> </w:t>
      </w:r>
      <w:r w:rsidRPr="3F9D437D">
        <w:rPr>
          <w:rFonts w:ascii="Times" w:hAnsi="Times"/>
          <w:sz w:val="20"/>
          <w:szCs w:val="20"/>
        </w:rPr>
        <w:t xml:space="preserve">with </w:t>
      </w:r>
      <w:r w:rsidRPr="00ED4F91">
        <w:rPr>
          <w:rFonts w:ascii="Times" w:hAnsi="Times"/>
          <w:sz w:val="20"/>
          <w:szCs w:val="20"/>
          <w:highlight w:val="yellow"/>
        </w:rPr>
        <w:t>I</w:t>
      </w:r>
      <w:r w:rsidRPr="00ED4F91">
        <w:rPr>
          <w:rFonts w:ascii="Times" w:hAnsi="Times"/>
          <w:sz w:val="20"/>
          <w:szCs w:val="20"/>
          <w:highlight w:val="yellow"/>
          <w:vertAlign w:val="subscript"/>
        </w:rPr>
        <w:t>e</w:t>
      </w:r>
      <w:r w:rsidRPr="3F9D437D">
        <w:rPr>
          <w:rFonts w:ascii="Times" w:hAnsi="Times"/>
          <w:sz w:val="20"/>
          <w:szCs w:val="20"/>
        </w:rPr>
        <w:t>=70 kA) fed by electrodes of annular shape. The torus current is sustained through Helicity Injection</w:t>
      </w:r>
    </w:p>
    <w:p w14:paraId="575E6334" w14:textId="57F3802F" w:rsidR="63BB6009" w:rsidRDefault="63BB6009" w:rsidP="7EF52620">
      <w:pPr>
        <w:spacing w:line="200" w:lineRule="atLeast"/>
        <w:jc w:val="left"/>
      </w:pPr>
      <w:r w:rsidRPr="7EF52620">
        <w:rPr>
          <w:rFonts w:ascii="Times" w:hAnsi="Times"/>
          <w:sz w:val="20"/>
          <w:szCs w:val="20"/>
        </w:rPr>
        <w:t>from the centerpost; phenomelogical evidences suggest the presence of an MHD dynamo field lasting for</w:t>
      </w:r>
    </w:p>
    <w:p w14:paraId="2FB97E16" w14:textId="6A6AA906" w:rsidR="63BB6009" w:rsidRDefault="63BB6009" w:rsidP="7EF52620">
      <w:pPr>
        <w:spacing w:line="200" w:lineRule="atLeast"/>
        <w:jc w:val="left"/>
      </w:pPr>
      <w:r w:rsidRPr="7EF52620">
        <w:rPr>
          <w:rFonts w:ascii="Times" w:hAnsi="Times"/>
          <w:sz w:val="20"/>
          <w:szCs w:val="20"/>
        </w:rPr>
        <w:t>periods far greater than the resistive relaxation time.</w:t>
      </w:r>
    </w:p>
    <w:p w14:paraId="0AE2D17E" w14:textId="02328BE9" w:rsidR="63BB6009" w:rsidRDefault="63BB6009" w:rsidP="7EF52620">
      <w:pPr>
        <w:spacing w:line="200" w:lineRule="atLeast"/>
        <w:jc w:val="left"/>
      </w:pPr>
      <w:r w:rsidRPr="3F9D437D">
        <w:rPr>
          <w:rFonts w:ascii="Times" w:hAnsi="Times"/>
          <w:sz w:val="20"/>
          <w:szCs w:val="20"/>
        </w:rPr>
        <w:t>In particular, 3D tomographic reconstructions of the visible light emitted by the plasma highlight the presence</w:t>
      </w:r>
      <w:r w:rsidR="1A19436B" w:rsidRPr="3F9D437D">
        <w:rPr>
          <w:rFonts w:ascii="Times" w:hAnsi="Times"/>
          <w:sz w:val="20"/>
          <w:szCs w:val="20"/>
        </w:rPr>
        <w:t xml:space="preserve"> </w:t>
      </w:r>
      <w:r w:rsidRPr="3F9D437D">
        <w:rPr>
          <w:rFonts w:ascii="Times" w:hAnsi="Times"/>
          <w:sz w:val="20"/>
          <w:szCs w:val="20"/>
        </w:rPr>
        <w:t>of a quasi-static closed magnetic domain, which is originated and sustained as a result of the onset of resistive</w:t>
      </w:r>
      <w:r w:rsidR="6254F963" w:rsidRPr="3F9D437D">
        <w:rPr>
          <w:rFonts w:ascii="Times" w:hAnsi="Times"/>
          <w:sz w:val="20"/>
          <w:szCs w:val="20"/>
        </w:rPr>
        <w:t xml:space="preserve"> </w:t>
      </w:r>
      <w:r w:rsidRPr="3F9D437D">
        <w:rPr>
          <w:rFonts w:ascii="Times" w:hAnsi="Times"/>
          <w:sz w:val="20"/>
          <w:szCs w:val="20"/>
        </w:rPr>
        <w:t>MHD instabilities. These events are not axisymmetric neither in the topology nor in the spatial distribution;</w:t>
      </w:r>
      <w:r w:rsidR="244DE0F2" w:rsidRPr="3F9D437D">
        <w:rPr>
          <w:rFonts w:ascii="Times" w:hAnsi="Times"/>
          <w:sz w:val="20"/>
          <w:szCs w:val="20"/>
        </w:rPr>
        <w:t xml:space="preserve"> </w:t>
      </w:r>
      <w:r w:rsidRPr="3F9D437D">
        <w:rPr>
          <w:rFonts w:ascii="Times" w:hAnsi="Times"/>
          <w:sz w:val="20"/>
          <w:szCs w:val="20"/>
        </w:rPr>
        <w:t>moreover, they correlate with saw teeth recorded on the axial/poloidal flux probes and</w:t>
      </w:r>
      <w:r w:rsidR="43F91F01" w:rsidRPr="3F9D437D">
        <w:rPr>
          <w:rFonts w:ascii="Times" w:hAnsi="Times"/>
          <w:sz w:val="20"/>
          <w:szCs w:val="20"/>
        </w:rPr>
        <w:t xml:space="preserve"> </w:t>
      </w:r>
      <w:r w:rsidRPr="3F9D437D">
        <w:rPr>
          <w:rFonts w:ascii="Times" w:hAnsi="Times"/>
          <w:sz w:val="20"/>
          <w:szCs w:val="20"/>
        </w:rPr>
        <w:t>corresponding to</w:t>
      </w:r>
      <w:r w:rsidR="457D7985" w:rsidRPr="3F9D437D">
        <w:rPr>
          <w:rFonts w:ascii="Times" w:hAnsi="Times"/>
          <w:sz w:val="20"/>
          <w:szCs w:val="20"/>
        </w:rPr>
        <w:t xml:space="preserve"> </w:t>
      </w:r>
      <w:r w:rsidRPr="3F9D437D">
        <w:rPr>
          <w:rFonts w:ascii="Times" w:hAnsi="Times"/>
          <w:sz w:val="20"/>
          <w:szCs w:val="20"/>
        </w:rPr>
        <w:t>magnetic reconnections, in this context known as dynamo relaxation events.</w:t>
      </w:r>
    </w:p>
    <w:p w14:paraId="7C72D5DC" w14:textId="30843D9B" w:rsidR="63BB6009" w:rsidRDefault="63BB6009" w:rsidP="7EF52620">
      <w:pPr>
        <w:spacing w:line="200" w:lineRule="atLeast"/>
        <w:jc w:val="left"/>
      </w:pPr>
      <w:r w:rsidRPr="7EF52620">
        <w:rPr>
          <w:rFonts w:ascii="Times" w:hAnsi="Times"/>
          <w:sz w:val="20"/>
          <w:szCs w:val="20"/>
        </w:rPr>
        <w:t>PROTO-SPHERA experiment was inspired by jet-torus configurations which are common around compact</w:t>
      </w:r>
    </w:p>
    <w:p w14:paraId="2FE0EA92" w14:textId="4BA9F7BF" w:rsidR="63BB6009" w:rsidRDefault="63BB6009" w:rsidP="7EF52620">
      <w:pPr>
        <w:spacing w:line="200" w:lineRule="atLeast"/>
        <w:jc w:val="left"/>
      </w:pPr>
      <w:r w:rsidRPr="7EF52620">
        <w:rPr>
          <w:rFonts w:ascii="Times" w:hAnsi="Times"/>
          <w:sz w:val="20"/>
          <w:szCs w:val="20"/>
        </w:rPr>
        <w:t>objects in astrophysics (i.e. the Pulsar Wind Nebulae) and are described by force-free equilibria. It is worth</w:t>
      </w:r>
    </w:p>
    <w:p w14:paraId="556068FB" w14:textId="27A6BE13" w:rsidR="63BB6009" w:rsidRDefault="63BB6009" w:rsidP="7EF52620">
      <w:pPr>
        <w:spacing w:line="200" w:lineRule="atLeast"/>
        <w:jc w:val="left"/>
      </w:pPr>
      <w:r w:rsidRPr="3F9D437D">
        <w:rPr>
          <w:rFonts w:ascii="Times" w:hAnsi="Times"/>
          <w:sz w:val="20"/>
          <w:szCs w:val="20"/>
        </w:rPr>
        <w:t>noting that, unlike other self-organized laboratory</w:t>
      </w:r>
      <w:r w:rsidR="7584B018" w:rsidRPr="3F9D437D">
        <w:rPr>
          <w:rFonts w:ascii="Times" w:hAnsi="Times"/>
          <w:sz w:val="20"/>
          <w:szCs w:val="20"/>
        </w:rPr>
        <w:t xml:space="preserve"> </w:t>
      </w:r>
      <w:r w:rsidRPr="3F9D437D">
        <w:rPr>
          <w:rFonts w:ascii="Times" w:hAnsi="Times"/>
          <w:sz w:val="20"/>
          <w:szCs w:val="20"/>
        </w:rPr>
        <w:t>plasmas like Spheromaks and RFPs, PROTO-SPHERA</w:t>
      </w:r>
    </w:p>
    <w:p w14:paraId="39364273" w14:textId="0203D098" w:rsidR="63BB6009" w:rsidRDefault="63BB6009" w:rsidP="7EF52620">
      <w:pPr>
        <w:spacing w:line="200" w:lineRule="atLeast"/>
        <w:jc w:val="left"/>
      </w:pPr>
      <w:r w:rsidRPr="3F9D437D">
        <w:rPr>
          <w:rFonts w:ascii="Times" w:hAnsi="Times"/>
          <w:sz w:val="20"/>
          <w:szCs w:val="20"/>
        </w:rPr>
        <w:t>lacks a flux conserver and is therefore a better candidate for laboratory astrophysics activity.</w:t>
      </w:r>
    </w:p>
    <w:p w14:paraId="481EAF4F" w14:textId="27A4B213" w:rsidR="63BB6009" w:rsidRDefault="63BB6009" w:rsidP="3F9D437D">
      <w:pPr>
        <w:spacing w:line="200" w:lineRule="atLeast"/>
        <w:jc w:val="left"/>
        <w:rPr>
          <w:rFonts w:ascii="Times" w:hAnsi="Times"/>
          <w:sz w:val="20"/>
          <w:szCs w:val="20"/>
        </w:rPr>
      </w:pPr>
    </w:p>
    <w:p w14:paraId="59F05C0A" w14:textId="380885CF" w:rsidR="63BB6009" w:rsidRDefault="63BB6009" w:rsidP="3F9D437D">
      <w:pPr>
        <w:spacing w:line="200" w:lineRule="atLeast"/>
        <w:jc w:val="left"/>
        <w:rPr>
          <w:rFonts w:ascii="Times" w:hAnsi="Times"/>
          <w:sz w:val="20"/>
          <w:szCs w:val="20"/>
        </w:rPr>
      </w:pPr>
    </w:p>
    <w:p w14:paraId="6524093E" w14:textId="02C401EA" w:rsidR="63BB6009" w:rsidRDefault="63BB6009" w:rsidP="3F9D437D">
      <w:pPr>
        <w:spacing w:line="200" w:lineRule="atLeast"/>
        <w:jc w:val="left"/>
        <w:rPr>
          <w:rFonts w:ascii="Times" w:hAnsi="Times"/>
          <w:sz w:val="20"/>
          <w:szCs w:val="20"/>
        </w:rPr>
      </w:pPr>
      <w:r w:rsidRPr="3F9D437D">
        <w:rPr>
          <w:rFonts w:ascii="Times" w:hAnsi="Times"/>
          <w:sz w:val="20"/>
          <w:szCs w:val="20"/>
        </w:rPr>
        <w:lastRenderedPageBreak/>
        <w:t>Despit</w:t>
      </w:r>
      <w:r w:rsidR="00433D26">
        <w:rPr>
          <w:rFonts w:ascii="Times" w:hAnsi="Times"/>
          <w:sz w:val="20"/>
          <w:szCs w:val="20"/>
        </w:rPr>
        <w:t xml:space="preserve">e the lack of a flux conserver, </w:t>
      </w:r>
      <w:r w:rsidRPr="3F9D437D">
        <w:rPr>
          <w:rFonts w:ascii="Times" w:hAnsi="Times"/>
          <w:sz w:val="20"/>
          <w:szCs w:val="20"/>
        </w:rPr>
        <w:t>PROTO-SPHERA displays ideal MHD stability; furthermore, a</w:t>
      </w:r>
      <w:r w:rsidR="5DB114D8" w:rsidRPr="3F9D437D">
        <w:rPr>
          <w:rFonts w:ascii="Times" w:hAnsi="Times"/>
          <w:sz w:val="20"/>
          <w:szCs w:val="20"/>
        </w:rPr>
        <w:t xml:space="preserve"> </w:t>
      </w:r>
      <w:r w:rsidRPr="3F9D437D">
        <w:rPr>
          <w:rFonts w:ascii="Times" w:hAnsi="Times"/>
          <w:sz w:val="20"/>
          <w:szCs w:val="20"/>
        </w:rPr>
        <w:t>significant rotation of plasma in toroidal direction around the centerpost acts as a further stabilizing feature.</w:t>
      </w:r>
    </w:p>
    <w:p w14:paraId="51144DBA" w14:textId="48770849" w:rsidR="63BB6009" w:rsidRDefault="63BB6009" w:rsidP="7EF52620">
      <w:pPr>
        <w:spacing w:line="200" w:lineRule="atLeast"/>
        <w:jc w:val="left"/>
      </w:pPr>
      <w:r w:rsidRPr="3F9D437D">
        <w:rPr>
          <w:rFonts w:ascii="Times" w:hAnsi="Times"/>
          <w:sz w:val="20"/>
          <w:szCs w:val="20"/>
        </w:rPr>
        <w:t>The dynamics of radial helicity transport in an open system is nonetheless not fully understood; in fact, in this</w:t>
      </w:r>
      <w:r w:rsidR="55CB0852" w:rsidRPr="3F9D437D">
        <w:rPr>
          <w:rFonts w:ascii="Times" w:hAnsi="Times"/>
          <w:sz w:val="20"/>
          <w:szCs w:val="20"/>
        </w:rPr>
        <w:t xml:space="preserve"> </w:t>
      </w:r>
      <w:r w:rsidRPr="3F9D437D">
        <w:rPr>
          <w:rFonts w:ascii="Times" w:hAnsi="Times"/>
          <w:sz w:val="20"/>
          <w:szCs w:val="20"/>
        </w:rPr>
        <w:t>operational phase (i.e. I</w:t>
      </w:r>
      <w:r w:rsidRPr="3F9D437D">
        <w:rPr>
          <w:rFonts w:ascii="Times" w:hAnsi="Times"/>
          <w:sz w:val="20"/>
          <w:szCs w:val="20"/>
          <w:vertAlign w:val="subscript"/>
        </w:rPr>
        <w:t>e</w:t>
      </w:r>
      <w:r w:rsidRPr="3F9D437D">
        <w:rPr>
          <w:rFonts w:ascii="Times" w:hAnsi="Times"/>
          <w:sz w:val="20"/>
          <w:szCs w:val="20"/>
        </w:rPr>
        <w:t>≤10 kA), there is evidence of an axial current flowing outside the torus, the</w:t>
      </w:r>
    </w:p>
    <w:p w14:paraId="1E7CD69C" w14:textId="46280575" w:rsidR="63BB6009" w:rsidRDefault="63BB6009" w:rsidP="7EF52620">
      <w:pPr>
        <w:spacing w:line="200" w:lineRule="atLeast"/>
        <w:jc w:val="left"/>
      </w:pPr>
      <w:r w:rsidRPr="7EF52620">
        <w:rPr>
          <w:rFonts w:ascii="Times" w:hAnsi="Times"/>
          <w:sz w:val="20"/>
          <w:szCs w:val="20"/>
        </w:rPr>
        <w:t>origin and impact of which is still to be addressed.</w:t>
      </w:r>
    </w:p>
    <w:p w14:paraId="1D83DA60" w14:textId="0969C863" w:rsidR="63BB6009" w:rsidRDefault="63BB6009" w:rsidP="7EF52620">
      <w:pPr>
        <w:spacing w:line="200" w:lineRule="atLeast"/>
        <w:jc w:val="left"/>
      </w:pPr>
      <w:r w:rsidRPr="7EF52620">
        <w:rPr>
          <w:rFonts w:ascii="Times" w:hAnsi="Times"/>
          <w:sz w:val="20"/>
          <w:szCs w:val="20"/>
        </w:rPr>
        <w:t>PROTO-SPHERA experiment is currently undergoing a major upgrade, with the aim of installing a more</w:t>
      </w:r>
    </w:p>
    <w:p w14:paraId="3DBB43F0" w14:textId="025ABBF4" w:rsidR="63BB6009" w:rsidRDefault="63BB6009" w:rsidP="7EF52620">
      <w:pPr>
        <w:spacing w:line="200" w:lineRule="atLeast"/>
        <w:jc w:val="left"/>
      </w:pPr>
      <w:r w:rsidRPr="3F9D437D">
        <w:rPr>
          <w:rFonts w:ascii="Times" w:hAnsi="Times"/>
          <w:sz w:val="20"/>
          <w:szCs w:val="20"/>
        </w:rPr>
        <w:t>complete diagnostic set and of addressing the presence of spurious current loops. An improved diagnostics</w:t>
      </w:r>
      <w:r w:rsidR="55F5E8DE" w:rsidRPr="3F9D437D">
        <w:rPr>
          <w:rFonts w:ascii="Times" w:hAnsi="Times"/>
          <w:sz w:val="20"/>
          <w:szCs w:val="20"/>
        </w:rPr>
        <w:t xml:space="preserve"> </w:t>
      </w:r>
      <w:r w:rsidRPr="3F9D437D">
        <w:rPr>
          <w:rFonts w:ascii="Times" w:hAnsi="Times"/>
          <w:sz w:val="20"/>
          <w:szCs w:val="20"/>
        </w:rPr>
        <w:t>coverage will be required for kinetic measurements and for magnetic topology reconstruction during Phase-2</w:t>
      </w:r>
    </w:p>
    <w:p w14:paraId="546AF2C9" w14:textId="435783CD" w:rsidR="63BB6009" w:rsidRDefault="63BB6009" w:rsidP="7EF52620">
      <w:pPr>
        <w:spacing w:line="200" w:lineRule="atLeast"/>
        <w:jc w:val="left"/>
      </w:pPr>
      <w:r w:rsidRPr="7EF52620">
        <w:rPr>
          <w:rFonts w:ascii="Times" w:hAnsi="Times"/>
          <w:sz w:val="20"/>
          <w:szCs w:val="20"/>
        </w:rPr>
        <w:t>(with full currents); in this phase, energy confinement quality inside the torus will be addressed, in view of a</w:t>
      </w:r>
    </w:p>
    <w:p w14:paraId="2C28D15E" w14:textId="515395E3" w:rsidR="63BB6009" w:rsidRDefault="63BB6009" w:rsidP="7EF52620">
      <w:pPr>
        <w:spacing w:line="200" w:lineRule="atLeast"/>
        <w:jc w:val="left"/>
      </w:pPr>
      <w:r w:rsidRPr="3F9D437D">
        <w:rPr>
          <w:rFonts w:ascii="Times" w:hAnsi="Times"/>
          <w:sz w:val="20"/>
          <w:szCs w:val="20"/>
        </w:rPr>
        <w:t>possible application of this new configuration to</w:t>
      </w:r>
      <w:r w:rsidR="54102FBE" w:rsidRPr="3F9D437D">
        <w:rPr>
          <w:rFonts w:ascii="Times" w:hAnsi="Times"/>
          <w:sz w:val="20"/>
          <w:szCs w:val="20"/>
        </w:rPr>
        <w:t xml:space="preserve"> </w:t>
      </w:r>
      <w:r w:rsidRPr="3F9D437D">
        <w:rPr>
          <w:rFonts w:ascii="Times" w:hAnsi="Times"/>
          <w:sz w:val="20"/>
          <w:szCs w:val="20"/>
        </w:rPr>
        <w:t>magnetic fusion.</w:t>
      </w:r>
    </w:p>
    <w:p w14:paraId="36E1AB2A" w14:textId="630867FE" w:rsidR="00955504" w:rsidRPr="00BB2EE5" w:rsidRDefault="00955504" w:rsidP="3F9D437D">
      <w:pPr>
        <w:adjustRightInd w:val="0"/>
        <w:snapToGrid w:val="0"/>
        <w:spacing w:line="200" w:lineRule="atLeast"/>
        <w:jc w:val="left"/>
        <w:rPr>
          <w:rFonts w:ascii="Times" w:hAnsi="Times"/>
          <w:sz w:val="20"/>
          <w:szCs w:val="20"/>
        </w:rPr>
      </w:pPr>
    </w:p>
    <w:p w14:paraId="017F0C91" w14:textId="77777777" w:rsidR="00955504" w:rsidRPr="00BB2EE5" w:rsidRDefault="00955504" w:rsidP="00FC12A1">
      <w:pPr>
        <w:adjustRightInd w:val="0"/>
        <w:snapToGrid w:val="0"/>
        <w:spacing w:line="200" w:lineRule="atLeast"/>
        <w:jc w:val="left"/>
        <w:rPr>
          <w:rFonts w:ascii="Times" w:hAnsi="Times"/>
          <w:sz w:val="20"/>
          <w:szCs w:val="20"/>
        </w:rPr>
      </w:pPr>
    </w:p>
    <w:p w14:paraId="1E9007A8" w14:textId="36222756" w:rsidR="3F9D437D" w:rsidRDefault="3F9D437D" w:rsidP="3F9D437D">
      <w:pPr>
        <w:spacing w:line="200" w:lineRule="atLeast"/>
        <w:jc w:val="left"/>
        <w:rPr>
          <w:rFonts w:ascii="Times" w:hAnsi="Times"/>
          <w:sz w:val="20"/>
          <w:szCs w:val="20"/>
        </w:rPr>
      </w:pPr>
    </w:p>
    <w:p w14:paraId="5B16AE6F" w14:textId="1C5F3836" w:rsidR="3F9D437D" w:rsidRDefault="3F9D437D" w:rsidP="3F9D437D">
      <w:pPr>
        <w:spacing w:line="200" w:lineRule="atLeast"/>
        <w:jc w:val="left"/>
        <w:rPr>
          <w:rFonts w:ascii="Times" w:hAnsi="Times"/>
          <w:sz w:val="20"/>
          <w:szCs w:val="20"/>
        </w:rPr>
      </w:pPr>
    </w:p>
    <w:p w14:paraId="7DE4BC38" w14:textId="30F73DEE" w:rsidR="00B95C68" w:rsidRDefault="00BB2EE5" w:rsidP="00FC12A1">
      <w:pPr>
        <w:adjustRightInd w:val="0"/>
        <w:snapToGrid w:val="0"/>
        <w:spacing w:line="200" w:lineRule="atLeast"/>
        <w:jc w:val="left"/>
        <w:rPr>
          <w:rFonts w:ascii="Times" w:hAnsi="Times"/>
          <w:sz w:val="20"/>
          <w:szCs w:val="20"/>
        </w:rPr>
      </w:pPr>
      <w:r w:rsidRPr="00BB2EE5">
        <w:rPr>
          <w:rFonts w:ascii="Times" w:hAnsi="Times"/>
          <w:sz w:val="20"/>
          <w:szCs w:val="20"/>
        </w:rPr>
        <w:t>References</w:t>
      </w:r>
    </w:p>
    <w:p w14:paraId="7E3777AE" w14:textId="4FC9E433" w:rsidR="00BB2EE5" w:rsidRDefault="00286CD2" w:rsidP="00FC12A1">
      <w:pPr>
        <w:adjustRightInd w:val="0"/>
        <w:snapToGrid w:val="0"/>
        <w:spacing w:line="200" w:lineRule="atLeast"/>
        <w:jc w:val="left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[1]</w:t>
      </w:r>
    </w:p>
    <w:p w14:paraId="54B0BD17" w14:textId="65AD35E7" w:rsidR="00535E1A" w:rsidRDefault="00286CD2" w:rsidP="00FC12A1">
      <w:pPr>
        <w:adjustRightInd w:val="0"/>
        <w:snapToGrid w:val="0"/>
        <w:spacing w:line="200" w:lineRule="atLeast"/>
        <w:jc w:val="left"/>
        <w:rPr>
          <w:rFonts w:ascii="Times" w:hAnsi="Times"/>
          <w:sz w:val="20"/>
          <w:szCs w:val="20"/>
        </w:rPr>
      </w:pPr>
      <w:r>
        <w:rPr>
          <w:rFonts w:ascii="Times" w:hAnsi="Times" w:hint="eastAsia"/>
          <w:sz w:val="20"/>
          <w:szCs w:val="20"/>
        </w:rPr>
        <w:t>[</w:t>
      </w:r>
      <w:r>
        <w:rPr>
          <w:rFonts w:ascii="Times" w:hAnsi="Times"/>
          <w:sz w:val="20"/>
          <w:szCs w:val="20"/>
        </w:rPr>
        <w:t>2]</w:t>
      </w:r>
    </w:p>
    <w:p w14:paraId="139B8DE3" w14:textId="41E2E641" w:rsidR="00B14C42" w:rsidRDefault="00286CD2" w:rsidP="00FC12A1">
      <w:pPr>
        <w:adjustRightInd w:val="0"/>
        <w:snapToGrid w:val="0"/>
        <w:spacing w:line="200" w:lineRule="atLeast"/>
        <w:jc w:val="left"/>
        <w:rPr>
          <w:rFonts w:ascii="Times" w:hAnsi="Times"/>
          <w:sz w:val="20"/>
          <w:szCs w:val="20"/>
        </w:rPr>
      </w:pPr>
      <w:r>
        <w:rPr>
          <w:rFonts w:ascii="Times" w:hAnsi="Times" w:hint="eastAsia"/>
          <w:sz w:val="20"/>
          <w:szCs w:val="20"/>
        </w:rPr>
        <w:t>[</w:t>
      </w:r>
      <w:r>
        <w:rPr>
          <w:rFonts w:ascii="Times" w:hAnsi="Times"/>
          <w:sz w:val="20"/>
          <w:szCs w:val="20"/>
        </w:rPr>
        <w:t>3]</w:t>
      </w:r>
    </w:p>
    <w:p w14:paraId="519EF68F" w14:textId="77777777" w:rsidR="00B14C42" w:rsidRDefault="00B14C42" w:rsidP="00FC12A1">
      <w:pPr>
        <w:adjustRightInd w:val="0"/>
        <w:snapToGrid w:val="0"/>
        <w:spacing w:line="200" w:lineRule="atLeast"/>
        <w:jc w:val="left"/>
        <w:rPr>
          <w:rFonts w:ascii="Times" w:hAnsi="Times"/>
          <w:sz w:val="20"/>
          <w:szCs w:val="20"/>
        </w:rPr>
      </w:pPr>
    </w:p>
    <w:p w14:paraId="5A65B586" w14:textId="77777777" w:rsidR="00B14C42" w:rsidRDefault="00B14C42" w:rsidP="00FC12A1">
      <w:pPr>
        <w:adjustRightInd w:val="0"/>
        <w:snapToGrid w:val="0"/>
        <w:spacing w:line="200" w:lineRule="atLeast"/>
        <w:jc w:val="left"/>
        <w:rPr>
          <w:rFonts w:ascii="Times" w:hAnsi="Times"/>
          <w:sz w:val="20"/>
          <w:szCs w:val="20"/>
        </w:rPr>
      </w:pPr>
    </w:p>
    <w:p w14:paraId="5941AA85" w14:textId="5282DD41" w:rsidR="00B95C68" w:rsidRDefault="00535E1A" w:rsidP="00FC12A1">
      <w:pPr>
        <w:adjustRightInd w:val="0"/>
        <w:snapToGrid w:val="0"/>
        <w:spacing w:line="200" w:lineRule="atLeast"/>
        <w:jc w:val="left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Figure</w:t>
      </w:r>
      <w:r w:rsidR="00A26CE4">
        <w:rPr>
          <w:rFonts w:ascii="Times" w:hAnsi="Times"/>
          <w:sz w:val="20"/>
          <w:szCs w:val="20"/>
        </w:rPr>
        <w:t xml:space="preserve"> xx</w:t>
      </w:r>
    </w:p>
    <w:p w14:paraId="22575026" w14:textId="77777777" w:rsidR="002812EB" w:rsidRDefault="002812EB" w:rsidP="00FC12A1">
      <w:pPr>
        <w:adjustRightInd w:val="0"/>
        <w:snapToGrid w:val="0"/>
        <w:spacing w:line="200" w:lineRule="atLeast"/>
        <w:jc w:val="left"/>
        <w:rPr>
          <w:rFonts w:ascii="Times" w:hAnsi="Times"/>
          <w:sz w:val="20"/>
          <w:szCs w:val="20"/>
        </w:rPr>
      </w:pPr>
    </w:p>
    <w:p w14:paraId="0AAA985A" w14:textId="21D7716C" w:rsidR="002812EB" w:rsidRPr="00300BFF" w:rsidRDefault="00204217" w:rsidP="00FC12A1">
      <w:pPr>
        <w:adjustRightInd w:val="0"/>
        <w:snapToGrid w:val="0"/>
        <w:spacing w:line="200" w:lineRule="atLeast"/>
        <w:jc w:val="left"/>
        <w:rPr>
          <w:rFonts w:ascii="Times" w:hAnsi="Times"/>
          <w:b/>
          <w:bCs/>
          <w:color w:val="FF0000"/>
          <w:sz w:val="16"/>
          <w:szCs w:val="16"/>
        </w:rPr>
        <w:sectPr w:rsidR="002812EB" w:rsidRPr="00300BFF" w:rsidSect="00B95C68">
          <w:type w:val="continuous"/>
          <w:pgSz w:w="11900" w:h="16840"/>
          <w:pgMar w:top="1418" w:right="1134" w:bottom="1134" w:left="1134" w:header="851" w:footer="992" w:gutter="0"/>
          <w:cols w:num="2" w:space="425"/>
          <w:docGrid w:type="lines" w:linePitch="400"/>
        </w:sectPr>
      </w:pPr>
      <w:r w:rsidRPr="00300BFF">
        <w:rPr>
          <w:rFonts w:ascii="Times" w:hAnsi="Times"/>
          <w:b/>
          <w:bCs/>
          <w:color w:val="FF0000"/>
          <w:sz w:val="16"/>
          <w:szCs w:val="16"/>
        </w:rPr>
        <w:t xml:space="preserve">Note: </w:t>
      </w:r>
      <w:r w:rsidR="002812EB" w:rsidRPr="00300BFF">
        <w:rPr>
          <w:rFonts w:ascii="Times" w:hAnsi="Times"/>
          <w:b/>
          <w:bCs/>
          <w:color w:val="FF0000"/>
          <w:sz w:val="16"/>
          <w:szCs w:val="16"/>
        </w:rPr>
        <w:t xml:space="preserve">Abstract should be in </w:t>
      </w:r>
      <w:r w:rsidR="00CF5EDF" w:rsidRPr="00300BFF">
        <w:rPr>
          <w:rFonts w:ascii="Times" w:hAnsi="Times"/>
          <w:b/>
          <w:bCs/>
          <w:color w:val="FF0000"/>
          <w:sz w:val="16"/>
          <w:szCs w:val="16"/>
        </w:rPr>
        <w:t xml:space="preserve">(full) </w:t>
      </w:r>
      <w:r w:rsidR="00A82884" w:rsidRPr="00300BFF">
        <w:rPr>
          <w:rFonts w:ascii="Times" w:hAnsi="Times"/>
          <w:b/>
          <w:bCs/>
          <w:color w:val="FF0000"/>
          <w:sz w:val="16"/>
          <w:szCs w:val="16"/>
        </w:rPr>
        <w:t>double-columned one</w:t>
      </w:r>
      <w:r w:rsidR="00433D26">
        <w:rPr>
          <w:rFonts w:ascii="Times" w:hAnsi="Times"/>
          <w:b/>
          <w:bCs/>
          <w:color w:val="FF0000"/>
          <w:sz w:val="16"/>
          <w:szCs w:val="16"/>
        </w:rPr>
        <w:t xml:space="preserve"> page</w:t>
      </w:r>
    </w:p>
    <w:p w14:paraId="0351CC83" w14:textId="2CC5D7F5" w:rsidR="00CF39F1" w:rsidRPr="00CE1564" w:rsidRDefault="00CF39F1" w:rsidP="002968D7">
      <w:pPr>
        <w:snapToGrid w:val="0"/>
        <w:spacing w:line="180" w:lineRule="atLeast"/>
        <w:jc w:val="center"/>
        <w:rPr>
          <w:rFonts w:ascii="Times" w:hAnsi="Times"/>
          <w:b/>
        </w:rPr>
      </w:pPr>
    </w:p>
    <w:sectPr w:rsidR="00CF39F1" w:rsidRPr="00CE1564" w:rsidSect="00B95C68">
      <w:type w:val="continuous"/>
      <w:pgSz w:w="11900" w:h="16840"/>
      <w:pgMar w:top="1418" w:right="1134" w:bottom="1134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B228F9" w14:textId="77777777" w:rsidR="00826424" w:rsidRDefault="00826424" w:rsidP="00556E6C">
      <w:r>
        <w:separator/>
      </w:r>
    </w:p>
  </w:endnote>
  <w:endnote w:type="continuationSeparator" w:id="0">
    <w:p w14:paraId="3C3F1312" w14:textId="77777777" w:rsidR="00826424" w:rsidRDefault="00826424" w:rsidP="00556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altName w:val="ＭＳ 明朝"/>
    <w:charset w:val="4E"/>
    <w:family w:val="auto"/>
    <w:pitch w:val="variable"/>
    <w:sig w:usb0="00000001" w:usb1="08070000" w:usb2="00000010" w:usb3="00000000" w:csb0="00020000" w:csb1="00000000"/>
  </w:font>
  <w:font w:name="ヒラギノ角ゴ ProN W3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LTStd-Roman-Identity-H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E9227A" w14:textId="77777777" w:rsidR="00826424" w:rsidRDefault="00826424" w:rsidP="00556E6C">
      <w:r>
        <w:separator/>
      </w:r>
    </w:p>
  </w:footnote>
  <w:footnote w:type="continuationSeparator" w:id="0">
    <w:p w14:paraId="2CF6EEBE" w14:textId="77777777" w:rsidR="00826424" w:rsidRDefault="00826424" w:rsidP="00556E6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A6DCB3" w14:textId="43D3DFEB" w:rsidR="00AA345E" w:rsidRDefault="003B018C">
    <w:pPr>
      <w:pStyle w:val="Header"/>
    </w:pPr>
    <w:r>
      <w:rPr>
        <w:rFonts w:ascii="Times" w:hAnsi="Times"/>
      </w:rPr>
      <w:t>9</w:t>
    </w:r>
    <w:r w:rsidR="00C34AAB" w:rsidRPr="004A5E34">
      <w:rPr>
        <w:rFonts w:ascii="Times" w:hAnsi="Times"/>
        <w:vertAlign w:val="superscript"/>
      </w:rPr>
      <w:t>th</w:t>
    </w:r>
    <w:r w:rsidR="00C34AAB" w:rsidRPr="004A5E34">
      <w:rPr>
        <w:rFonts w:ascii="Times" w:hAnsi="Times"/>
      </w:rPr>
      <w:t xml:space="preserve"> </w:t>
    </w:r>
    <w:r w:rsidR="00AA345E" w:rsidRPr="004A5E34">
      <w:rPr>
        <w:rFonts w:ascii="Times" w:hAnsi="Times"/>
      </w:rPr>
      <w:t xml:space="preserve">Asia-Pacific Conference on Plasma Physics, </w:t>
    </w:r>
    <w:r>
      <w:rPr>
        <w:rFonts w:ascii="Times" w:hAnsi="Times"/>
      </w:rPr>
      <w:t>21-26</w:t>
    </w:r>
    <w:r w:rsidR="0066416C" w:rsidRPr="004A5E34">
      <w:rPr>
        <w:rFonts w:ascii="Times" w:hAnsi="Times"/>
      </w:rPr>
      <w:t xml:space="preserve"> </w:t>
    </w:r>
    <w:r>
      <w:rPr>
        <w:rFonts w:ascii="Times" w:hAnsi="Times"/>
      </w:rPr>
      <w:t>Sep</w:t>
    </w:r>
    <w:r w:rsidR="00526D63" w:rsidRPr="004A5E34">
      <w:rPr>
        <w:rFonts w:ascii="Times" w:hAnsi="Times"/>
      </w:rPr>
      <w:t>,</w:t>
    </w:r>
    <w:r w:rsidR="003D440C" w:rsidRPr="004A5E34">
      <w:rPr>
        <w:rFonts w:ascii="Times" w:hAnsi="Times"/>
      </w:rPr>
      <w:t xml:space="preserve"> </w:t>
    </w:r>
    <w:r w:rsidR="00526D63" w:rsidRPr="004A5E34">
      <w:rPr>
        <w:rFonts w:ascii="Times" w:hAnsi="Times"/>
      </w:rPr>
      <w:t>202</w:t>
    </w:r>
    <w:r>
      <w:rPr>
        <w:rFonts w:ascii="Times" w:hAnsi="Times"/>
      </w:rPr>
      <w:t>5</w:t>
    </w:r>
    <w:r w:rsidR="0054496F" w:rsidRPr="004A5E34">
      <w:rPr>
        <w:rFonts w:ascii="Times" w:hAnsi="Times"/>
      </w:rPr>
      <w:t xml:space="preserve"> at </w:t>
    </w:r>
    <w:r>
      <w:rPr>
        <w:rFonts w:ascii="Times" w:hAnsi="Times"/>
      </w:rPr>
      <w:t>Fukuoka</w:t>
    </w:r>
    <w:r w:rsidR="004A5E34">
      <w:rPr>
        <w:rFonts w:ascii="Times" w:hAnsi="Times"/>
      </w:rPr>
      <w:t xml:space="preserve"> </w:t>
    </w:r>
    <w:r w:rsidR="00BC1309">
      <w:rPr>
        <w:rFonts w:ascii="Times" w:hAnsi="Times"/>
        <w:noProof/>
        <w:sz w:val="22"/>
        <w:szCs w:val="22"/>
      </w:rPr>
      <w:t xml:space="preserve"> </w:t>
    </w:r>
    <w:r w:rsidR="00AA345E">
      <w:rPr>
        <w:noProof/>
        <w:lang w:eastAsia="en-US"/>
      </w:rPr>
      <w:drawing>
        <wp:inline distT="0" distB="0" distL="0" distR="0" wp14:anchorId="46F9F292" wp14:editId="7DDBAE2A">
          <wp:extent cx="1045584" cy="341211"/>
          <wp:effectExtent l="0" t="0" r="0" b="0"/>
          <wp:docPr id="2" name="図 2" descr="Macintosh HD:Users:kikuchimitsuru1:Desktop:AAPPS-DPP:DPP LOGO: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kikuchimitsuru1:Desktop:AAPPS-DPP:DPP LOGO: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5987" cy="3413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EPigH4lQSaCfOp" int2:id="KGQZeyN9">
      <int2:state int2:type="AugLoop_Text_Critique" int2:value="Rejected"/>
    </int2:textHash>
    <int2:textHash int2:hashCode="v7WkBqqGsSSUC7" int2:id="LzuXv4BG">
      <int2:state int2:type="AugLoop_Text_Critique" int2:value="Rejected"/>
    </int2:textHash>
    <int2:textHash int2:hashCode="mhUoT9VqB3ETht" int2:id="gyRkj55D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6405B"/>
    <w:multiLevelType w:val="hybridMultilevel"/>
    <w:tmpl w:val="72A24ECA"/>
    <w:lvl w:ilvl="0" w:tplc="132286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embedSystemFonts/>
  <w:bordersDoNotSurroundHeader/>
  <w:bordersDoNotSurroundFooter/>
  <w:defaultTabStop w:val="96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E6C"/>
    <w:rsid w:val="000A4FEA"/>
    <w:rsid w:val="00103BDB"/>
    <w:rsid w:val="001113C5"/>
    <w:rsid w:val="00112F5B"/>
    <w:rsid w:val="0013635F"/>
    <w:rsid w:val="001923BF"/>
    <w:rsid w:val="001A185C"/>
    <w:rsid w:val="001D0FC2"/>
    <w:rsid w:val="001F0AF2"/>
    <w:rsid w:val="00204217"/>
    <w:rsid w:val="00233B75"/>
    <w:rsid w:val="00235E38"/>
    <w:rsid w:val="002812EB"/>
    <w:rsid w:val="00286CD2"/>
    <w:rsid w:val="002968D7"/>
    <w:rsid w:val="002A26D8"/>
    <w:rsid w:val="002D4FC6"/>
    <w:rsid w:val="002F7160"/>
    <w:rsid w:val="00300BFF"/>
    <w:rsid w:val="00306290"/>
    <w:rsid w:val="00312ABC"/>
    <w:rsid w:val="00341819"/>
    <w:rsid w:val="003479CF"/>
    <w:rsid w:val="00365A4D"/>
    <w:rsid w:val="00374A3C"/>
    <w:rsid w:val="003834BF"/>
    <w:rsid w:val="003B018C"/>
    <w:rsid w:val="003C244D"/>
    <w:rsid w:val="003D440C"/>
    <w:rsid w:val="004062CF"/>
    <w:rsid w:val="004176C6"/>
    <w:rsid w:val="00433D26"/>
    <w:rsid w:val="00455877"/>
    <w:rsid w:val="004A24B0"/>
    <w:rsid w:val="004A5E34"/>
    <w:rsid w:val="004E6E8C"/>
    <w:rsid w:val="005159D2"/>
    <w:rsid w:val="00526D63"/>
    <w:rsid w:val="00535E1A"/>
    <w:rsid w:val="0054496F"/>
    <w:rsid w:val="00556E6C"/>
    <w:rsid w:val="0056240F"/>
    <w:rsid w:val="005707F1"/>
    <w:rsid w:val="005A1F60"/>
    <w:rsid w:val="005A7E69"/>
    <w:rsid w:val="005C3A9A"/>
    <w:rsid w:val="005F4D4F"/>
    <w:rsid w:val="00622E30"/>
    <w:rsid w:val="00627249"/>
    <w:rsid w:val="00630D66"/>
    <w:rsid w:val="0066416C"/>
    <w:rsid w:val="00686301"/>
    <w:rsid w:val="006966C7"/>
    <w:rsid w:val="006A707E"/>
    <w:rsid w:val="006C0AB1"/>
    <w:rsid w:val="007476FA"/>
    <w:rsid w:val="00747CE5"/>
    <w:rsid w:val="0075275D"/>
    <w:rsid w:val="00752CF1"/>
    <w:rsid w:val="00787D13"/>
    <w:rsid w:val="007A3AF7"/>
    <w:rsid w:val="007C2690"/>
    <w:rsid w:val="008006EB"/>
    <w:rsid w:val="00804AF3"/>
    <w:rsid w:val="00826424"/>
    <w:rsid w:val="008372BF"/>
    <w:rsid w:val="00843547"/>
    <w:rsid w:val="00844ABF"/>
    <w:rsid w:val="008614EA"/>
    <w:rsid w:val="00864468"/>
    <w:rsid w:val="00907E59"/>
    <w:rsid w:val="00914463"/>
    <w:rsid w:val="00955504"/>
    <w:rsid w:val="009A3FE9"/>
    <w:rsid w:val="009B3B2A"/>
    <w:rsid w:val="009D33E2"/>
    <w:rsid w:val="00A02C2C"/>
    <w:rsid w:val="00A26CE4"/>
    <w:rsid w:val="00A37708"/>
    <w:rsid w:val="00A454C5"/>
    <w:rsid w:val="00A82884"/>
    <w:rsid w:val="00A85E71"/>
    <w:rsid w:val="00AA345E"/>
    <w:rsid w:val="00AC44B4"/>
    <w:rsid w:val="00AE1FF5"/>
    <w:rsid w:val="00B14C42"/>
    <w:rsid w:val="00B50A3F"/>
    <w:rsid w:val="00B60A48"/>
    <w:rsid w:val="00B7590E"/>
    <w:rsid w:val="00B83B00"/>
    <w:rsid w:val="00B90973"/>
    <w:rsid w:val="00B95C68"/>
    <w:rsid w:val="00B97E3C"/>
    <w:rsid w:val="00BA11BF"/>
    <w:rsid w:val="00BB2EE5"/>
    <w:rsid w:val="00BC1309"/>
    <w:rsid w:val="00BF532F"/>
    <w:rsid w:val="00C07A0A"/>
    <w:rsid w:val="00C34325"/>
    <w:rsid w:val="00C34AAB"/>
    <w:rsid w:val="00CB3B48"/>
    <w:rsid w:val="00CC0EFF"/>
    <w:rsid w:val="00CE1564"/>
    <w:rsid w:val="00CE7BC9"/>
    <w:rsid w:val="00CF39F1"/>
    <w:rsid w:val="00CF5EDF"/>
    <w:rsid w:val="00D67AF6"/>
    <w:rsid w:val="00DC220B"/>
    <w:rsid w:val="00DF1884"/>
    <w:rsid w:val="00E170E4"/>
    <w:rsid w:val="00E649DB"/>
    <w:rsid w:val="00E84C0B"/>
    <w:rsid w:val="00EA3DF0"/>
    <w:rsid w:val="00ED4F91"/>
    <w:rsid w:val="00F1131B"/>
    <w:rsid w:val="00F44890"/>
    <w:rsid w:val="00F670B1"/>
    <w:rsid w:val="00FB3B2A"/>
    <w:rsid w:val="00FC12A1"/>
    <w:rsid w:val="00FE40BA"/>
    <w:rsid w:val="0859CDEE"/>
    <w:rsid w:val="0A69C174"/>
    <w:rsid w:val="111897B7"/>
    <w:rsid w:val="12584038"/>
    <w:rsid w:val="156DEC65"/>
    <w:rsid w:val="1A19436B"/>
    <w:rsid w:val="1D0FB123"/>
    <w:rsid w:val="1DC4C660"/>
    <w:rsid w:val="20D6A1B8"/>
    <w:rsid w:val="244DE0F2"/>
    <w:rsid w:val="2FEFBE3B"/>
    <w:rsid w:val="3523EDCE"/>
    <w:rsid w:val="35EDE71A"/>
    <w:rsid w:val="38CD5E1E"/>
    <w:rsid w:val="39EAFD04"/>
    <w:rsid w:val="3A8CF5CE"/>
    <w:rsid w:val="3F9D437D"/>
    <w:rsid w:val="43A73131"/>
    <w:rsid w:val="43F91F01"/>
    <w:rsid w:val="457D7985"/>
    <w:rsid w:val="47D5F211"/>
    <w:rsid w:val="4DBE614B"/>
    <w:rsid w:val="4F4CF413"/>
    <w:rsid w:val="4F708BCB"/>
    <w:rsid w:val="54102FBE"/>
    <w:rsid w:val="55CB0852"/>
    <w:rsid w:val="55F5E8DE"/>
    <w:rsid w:val="5663B683"/>
    <w:rsid w:val="5DB114D8"/>
    <w:rsid w:val="60D7DA2A"/>
    <w:rsid w:val="6254F963"/>
    <w:rsid w:val="63BB6009"/>
    <w:rsid w:val="6499C0EA"/>
    <w:rsid w:val="678DA28C"/>
    <w:rsid w:val="6B7D327E"/>
    <w:rsid w:val="71FFF214"/>
    <w:rsid w:val="737E4C9F"/>
    <w:rsid w:val="74B0875D"/>
    <w:rsid w:val="7584B018"/>
    <w:rsid w:val="7C8E3F83"/>
    <w:rsid w:val="7D3B403F"/>
    <w:rsid w:val="7EF5262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2FD69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6E6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56E6C"/>
  </w:style>
  <w:style w:type="paragraph" w:styleId="Footer">
    <w:name w:val="footer"/>
    <w:basedOn w:val="Normal"/>
    <w:link w:val="FooterChar"/>
    <w:uiPriority w:val="99"/>
    <w:unhideWhenUsed/>
    <w:rsid w:val="00556E6C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56E6C"/>
  </w:style>
  <w:style w:type="paragraph" w:styleId="BalloonText">
    <w:name w:val="Balloon Text"/>
    <w:basedOn w:val="Normal"/>
    <w:link w:val="BalloonTextChar"/>
    <w:uiPriority w:val="99"/>
    <w:semiHidden/>
    <w:unhideWhenUsed/>
    <w:rsid w:val="00686301"/>
    <w:rPr>
      <w:rFonts w:ascii="ヒラギノ角ゴ ProN W3" w:eastAsia="ヒラギノ角ゴ ProN W3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301"/>
    <w:rPr>
      <w:rFonts w:ascii="ヒラギノ角ゴ ProN W3" w:eastAsia="ヒラギノ角ゴ ProN W3"/>
      <w:sz w:val="18"/>
      <w:szCs w:val="18"/>
    </w:rPr>
  </w:style>
  <w:style w:type="paragraph" w:styleId="ListParagraph">
    <w:name w:val="List Paragraph"/>
    <w:basedOn w:val="Normal"/>
    <w:uiPriority w:val="34"/>
    <w:qFormat/>
    <w:rsid w:val="007A3AF7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6E6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56E6C"/>
  </w:style>
  <w:style w:type="paragraph" w:styleId="Footer">
    <w:name w:val="footer"/>
    <w:basedOn w:val="Normal"/>
    <w:link w:val="FooterChar"/>
    <w:uiPriority w:val="99"/>
    <w:unhideWhenUsed/>
    <w:rsid w:val="00556E6C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56E6C"/>
  </w:style>
  <w:style w:type="paragraph" w:styleId="BalloonText">
    <w:name w:val="Balloon Text"/>
    <w:basedOn w:val="Normal"/>
    <w:link w:val="BalloonTextChar"/>
    <w:uiPriority w:val="99"/>
    <w:semiHidden/>
    <w:unhideWhenUsed/>
    <w:rsid w:val="00686301"/>
    <w:rPr>
      <w:rFonts w:ascii="ヒラギノ角ゴ ProN W3" w:eastAsia="ヒラギノ角ゴ ProN W3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301"/>
    <w:rPr>
      <w:rFonts w:ascii="ヒラギノ角ゴ ProN W3" w:eastAsia="ヒラギノ角ゴ ProN W3"/>
      <w:sz w:val="18"/>
      <w:szCs w:val="18"/>
    </w:rPr>
  </w:style>
  <w:style w:type="paragraph" w:styleId="ListParagraph">
    <w:name w:val="List Paragraph"/>
    <w:basedOn w:val="Normal"/>
    <w:uiPriority w:val="34"/>
    <w:qFormat/>
    <w:rsid w:val="007A3AF7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0473e85763cd4355" Type="http://schemas.microsoft.com/office/2020/10/relationships/intelligence" Target="intelligence2.xml"/><Relationship Id="rId1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ACE900-7A90-CD4D-BAEC-A168AF770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413</Words>
  <Characters>2355</Characters>
  <Application>Microsoft Macintosh Word</Application>
  <DocSecurity>0</DocSecurity>
  <Lines>19</Lines>
  <Paragraphs>5</Paragraphs>
  <ScaleCrop>false</ScaleCrop>
  <Company>JAEA</Company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菊池 満</dc:creator>
  <cp:keywords/>
  <dc:description/>
  <cp:lastModifiedBy>Paolo Micozzi</cp:lastModifiedBy>
  <cp:revision>111</cp:revision>
  <dcterms:created xsi:type="dcterms:W3CDTF">2016-10-26T01:14:00Z</dcterms:created>
  <dcterms:modified xsi:type="dcterms:W3CDTF">2025-04-23T14:23:00Z</dcterms:modified>
</cp:coreProperties>
</file>